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1" w:rsidRPr="006337CE" w:rsidRDefault="0061193A" w:rsidP="00414A41">
      <w:pPr>
        <w:pStyle w:val="Textbody"/>
        <w:spacing w:after="0" w:line="240" w:lineRule="auto"/>
        <w:ind w:firstLine="3963"/>
        <w:jc w:val="center"/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</w:pPr>
      <w:r w:rsidRPr="006337C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Згідно з Додатком 2</w:t>
      </w:r>
    </w:p>
    <w:p w:rsidR="00E318C1" w:rsidRPr="006337CE" w:rsidRDefault="0061193A" w:rsidP="00414A41">
      <w:pPr>
        <w:pStyle w:val="Textbody"/>
        <w:spacing w:after="0" w:line="240" w:lineRule="auto"/>
        <w:ind w:firstLine="3950"/>
        <w:jc w:val="center"/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</w:pPr>
      <w:r w:rsidRPr="006337C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до Методики проведення аналізу впливу</w:t>
      </w:r>
    </w:p>
    <w:p w:rsidR="00E318C1" w:rsidRPr="006337CE" w:rsidRDefault="0061193A" w:rsidP="00414A41">
      <w:pPr>
        <w:pStyle w:val="Textbody"/>
        <w:spacing w:after="0" w:line="240" w:lineRule="auto"/>
        <w:ind w:firstLine="3938"/>
        <w:jc w:val="center"/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</w:pPr>
      <w:r w:rsidRPr="006337C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регуляторного акта</w:t>
      </w:r>
    </w:p>
    <w:p w:rsidR="00E318C1" w:rsidRPr="006337CE" w:rsidRDefault="0061193A" w:rsidP="00414A41">
      <w:pPr>
        <w:pStyle w:val="Textbody"/>
        <w:spacing w:after="0" w:line="240" w:lineRule="auto"/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</w:pPr>
      <w:r w:rsidRPr="006337C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 </w:t>
      </w:r>
    </w:p>
    <w:p w:rsidR="00E318C1" w:rsidRPr="00D0556F" w:rsidRDefault="0061193A" w:rsidP="00414A4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  <w:shd w:val="clear" w:color="auto" w:fill="FFFFFF"/>
          <w:lang w:val="uk-UA"/>
        </w:rPr>
      </w:pPr>
      <w:r w:rsidRPr="00D0556F">
        <w:rPr>
          <w:rFonts w:ascii="Times New Roman" w:hAnsi="Times New Roman"/>
          <w:b/>
          <w:color w:val="auto"/>
          <w:sz w:val="28"/>
          <w:szCs w:val="24"/>
          <w:shd w:val="clear" w:color="auto" w:fill="FFFFFF"/>
          <w:lang w:val="uk-UA"/>
        </w:rPr>
        <w:t>ВИТРАТИ</w:t>
      </w:r>
    </w:p>
    <w:p w:rsidR="00E318C1" w:rsidRPr="00D0556F" w:rsidRDefault="0061193A" w:rsidP="00414A4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  <w:shd w:val="clear" w:color="auto" w:fill="FFFFFF"/>
          <w:lang w:val="uk-UA"/>
        </w:rPr>
      </w:pPr>
      <w:r w:rsidRPr="00D0556F">
        <w:rPr>
          <w:rFonts w:ascii="Times New Roman" w:hAnsi="Times New Roman"/>
          <w:b/>
          <w:color w:val="auto"/>
          <w:sz w:val="28"/>
          <w:szCs w:val="24"/>
          <w:shd w:val="clear" w:color="auto" w:fill="FFFFFF"/>
          <w:lang w:val="uk-UA"/>
        </w:rPr>
        <w:t>на одного суб'єкта господарювання великого і середнього підприємництва, які виникають внаслідок дії регуляторного акта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10"/>
        <w:gridCol w:w="8119"/>
        <w:gridCol w:w="1219"/>
      </w:tblGrid>
      <w:tr w:rsidR="00307549" w:rsidRPr="006337CE" w:rsidTr="0030754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sz w:val="24"/>
                <w:szCs w:val="24"/>
                <w:lang w:val="uk-UA"/>
              </w:rPr>
              <w:t>За перший рік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 на придбання основн</w:t>
            </w:r>
            <w:bookmarkStart w:id="0" w:name="_GoBack"/>
            <w:bookmarkEnd w:id="0"/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D0556F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54144</w:t>
            </w:r>
            <w:r w:rsidR="00D0556F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,</w:t>
            </w: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98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D0556F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DE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39,80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D0556F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13</w:t>
            </w:r>
            <w:r w:rsidR="00D0556F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,27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Інше,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8.1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Процедури отримання первинної інформації про вимоги регулювання,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FA1CCC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</w:t>
            </w:r>
            <w:r w:rsidR="00FA1CC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,</w:t>
            </w: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31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РАЗОМ,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D0556F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54</w:t>
            </w:r>
            <w:r w:rsidR="00D0556F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203,36</w:t>
            </w:r>
          </w:p>
        </w:tc>
      </w:tr>
      <w:tr w:rsidR="00307549" w:rsidRPr="006337CE" w:rsidTr="0030754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</w:tr>
      <w:tr w:rsidR="00307549" w:rsidRPr="006337CE" w:rsidTr="00307549">
        <w:trPr>
          <w:trHeight w:val="768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414A41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регулювання), гривень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549" w:rsidRPr="006337CE" w:rsidRDefault="00307549" w:rsidP="00D0556F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7C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54</w:t>
            </w:r>
            <w:r w:rsidR="00D0556F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2033,60</w:t>
            </w:r>
          </w:p>
        </w:tc>
      </w:tr>
    </w:tbl>
    <w:p w:rsidR="00E318C1" w:rsidRDefault="00E318C1" w:rsidP="00414A41">
      <w:pPr>
        <w:pStyle w:val="Textbody"/>
        <w:spacing w:after="0" w:line="240" w:lineRule="auto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E037E0" w:rsidRPr="00A65F9B" w:rsidRDefault="00E037E0" w:rsidP="00E037E0">
      <w:pPr>
        <w:pStyle w:val="a8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E1B31">
        <w:rPr>
          <w:b/>
          <w:sz w:val="28"/>
          <w:szCs w:val="28"/>
        </w:rPr>
        <w:t>Розрахунок відповідних витрат на одного суб’єкта господарювання</w:t>
      </w:r>
    </w:p>
    <w:p w:rsidR="00E037E0" w:rsidRPr="00A65F9B" w:rsidRDefault="00E037E0" w:rsidP="00E037E0">
      <w:pPr>
        <w:pStyle w:val="a8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E037E0" w:rsidRPr="00DE1B31" w:rsidRDefault="00E037E0" w:rsidP="00E037E0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використовується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орієнтовний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мінімальний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плати на 2020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- 4407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грн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. (лист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03.08.2018 року № 05110-14-21/20720).</w:t>
      </w:r>
    </w:p>
    <w:p w:rsidR="00E037E0" w:rsidRPr="00DE1B31" w:rsidRDefault="00E037E0" w:rsidP="00E037E0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Мінімальна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зарплата у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погодинному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2020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складає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4407/1993*12</w:t>
      </w:r>
    </w:p>
    <w:p w:rsidR="00E037E0" w:rsidRPr="00DE1B31" w:rsidRDefault="00E037E0" w:rsidP="00E037E0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= 26,53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грн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E037E0" w:rsidRPr="00DE1B31" w:rsidRDefault="00E037E0" w:rsidP="00E037E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Витрати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часу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карти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міжгалузевих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нормативів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</w:t>
      </w:r>
      <w:proofErr w:type="gram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іку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(наказ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соціальної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lastRenderedPageBreak/>
        <w:t>політики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26.09.2003 року №269 «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Міжгалузеві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нормативи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Pr="00DE1B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»).</w:t>
      </w:r>
    </w:p>
    <w:p w:rsidR="00E037E0" w:rsidRPr="00DE1B31" w:rsidRDefault="00E037E0" w:rsidP="00E037E0">
      <w:pPr>
        <w:pStyle w:val="a8"/>
        <w:spacing w:after="0" w:line="240" w:lineRule="auto"/>
        <w:ind w:left="2450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13"/>
        <w:gridCol w:w="1963"/>
        <w:gridCol w:w="2035"/>
        <w:gridCol w:w="1210"/>
        <w:gridCol w:w="1127"/>
      </w:tblGrid>
      <w:tr w:rsidR="00E037E0" w:rsidRPr="00E27FE9" w:rsidTr="00E075D4">
        <w:trPr>
          <w:trHeight w:val="551"/>
          <w:jc w:val="center"/>
        </w:trPr>
        <w:tc>
          <w:tcPr>
            <w:tcW w:w="0" w:type="auto"/>
            <w:gridSpan w:val="2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У перший рік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Періодичні (за</w:t>
            </w:r>
          </w:p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</w:t>
            </w:r>
            <w:r w:rsidRPr="00E27FE9">
              <w:rPr>
                <w:spacing w:val="-3"/>
                <w:sz w:val="24"/>
                <w:szCs w:val="24"/>
              </w:rPr>
              <w:t xml:space="preserve"> </w:t>
            </w:r>
            <w:r w:rsidRPr="00E27FE9">
              <w:rPr>
                <w:sz w:val="24"/>
                <w:szCs w:val="24"/>
              </w:rPr>
              <w:t>за</w:t>
            </w:r>
          </w:p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п’ять років</w:t>
            </w:r>
            <w:r w:rsidR="003C3E6F">
              <w:rPr>
                <w:sz w:val="24"/>
                <w:szCs w:val="24"/>
              </w:rPr>
              <w:t>**</w:t>
            </w:r>
          </w:p>
        </w:tc>
      </w:tr>
      <w:tr w:rsidR="00E037E0" w:rsidRPr="00E27FE9" w:rsidTr="00E075D4">
        <w:trPr>
          <w:trHeight w:val="1106"/>
          <w:jc w:val="center"/>
        </w:trPr>
        <w:tc>
          <w:tcPr>
            <w:tcW w:w="0" w:type="auto"/>
            <w:gridSpan w:val="2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на придбання основних фондів, обладнання та приладів, сервісне</w:t>
            </w:r>
          </w:p>
          <w:p w:rsidR="00E037E0" w:rsidRPr="00E27FE9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обслуговування, навчання/підвищення кваліфікації персоналу тощо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color w:val="auto"/>
                <w:sz w:val="24"/>
                <w:szCs w:val="24"/>
              </w:rPr>
              <w:t>Податок не є новим, додаткових витрат не передбачено.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</w:tr>
      <w:tr w:rsidR="00E037E0" w:rsidRPr="00E27FE9" w:rsidTr="00E075D4">
        <w:trPr>
          <w:trHeight w:val="827"/>
          <w:jc w:val="center"/>
        </w:trPr>
        <w:tc>
          <w:tcPr>
            <w:tcW w:w="0" w:type="auto"/>
            <w:gridSpan w:val="2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gridSpan w:val="2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ind w:firstLine="84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на сплату податків та</w:t>
            </w:r>
          </w:p>
          <w:p w:rsidR="00E037E0" w:rsidRPr="00E27FE9" w:rsidRDefault="00E037E0" w:rsidP="00E075D4">
            <w:pPr>
              <w:pStyle w:val="TableParagraph"/>
              <w:spacing w:after="0" w:line="240" w:lineRule="auto"/>
              <w:ind w:hanging="1275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зборів (змінених/нововведених) (за рік)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ind w:firstLine="7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за п’ять років</w:t>
            </w:r>
            <w:r w:rsidR="003C3E6F">
              <w:rPr>
                <w:sz w:val="24"/>
                <w:szCs w:val="24"/>
              </w:rPr>
              <w:t>**</w:t>
            </w:r>
          </w:p>
        </w:tc>
      </w:tr>
      <w:tr w:rsidR="00E037E0" w:rsidRPr="00E27FE9" w:rsidTr="00E075D4">
        <w:trPr>
          <w:trHeight w:val="1173"/>
          <w:jc w:val="center"/>
        </w:trPr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Податки та збори (зміна розміру податків/зборів, виникнення необхідності у сплаті податків/зборів):</w:t>
            </w:r>
          </w:p>
          <w:p w:rsidR="00E037E0" w:rsidRPr="00E27FE9" w:rsidRDefault="00E037E0" w:rsidP="00E037E0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податок за нерухоме майно, відмінне від земельної ділянки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E27FE9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7CE">
              <w:rPr>
                <w:color w:val="auto"/>
                <w:sz w:val="24"/>
                <w:szCs w:val="24"/>
              </w:rPr>
              <w:t>54144</w:t>
            </w:r>
            <w:r>
              <w:rPr>
                <w:color w:val="auto"/>
                <w:sz w:val="24"/>
                <w:szCs w:val="24"/>
              </w:rPr>
              <w:t>,</w:t>
            </w:r>
            <w:r w:rsidRPr="006337CE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E27FE9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</w:tr>
      <w:tr w:rsidR="00E037E0" w:rsidRPr="00E27FE9" w:rsidTr="00E075D4">
        <w:trPr>
          <w:trHeight w:val="1656"/>
          <w:jc w:val="center"/>
        </w:trPr>
        <w:tc>
          <w:tcPr>
            <w:tcW w:w="0" w:type="auto"/>
            <w:tcBorders>
              <w:top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ind w:firstLine="3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Витрати* на ведення обліку, підготовку та подання звітності (за</w:t>
            </w:r>
          </w:p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на оплату штрафних санкцій за рік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Разом за рік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E037E0" w:rsidRPr="00E27FE9" w:rsidRDefault="00E037E0" w:rsidP="00E075D4">
            <w:pPr>
              <w:pStyle w:val="TableParagraph"/>
              <w:spacing w:after="0" w:line="240" w:lineRule="auto"/>
              <w:ind w:firstLine="7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Витрати за п’ять років</w:t>
            </w:r>
            <w:r w:rsidR="003C3E6F">
              <w:rPr>
                <w:sz w:val="24"/>
                <w:szCs w:val="24"/>
              </w:rPr>
              <w:t>**</w:t>
            </w:r>
          </w:p>
        </w:tc>
      </w:tr>
      <w:tr w:rsidR="00E037E0" w:rsidRPr="00E27FE9" w:rsidTr="00E075D4">
        <w:trPr>
          <w:trHeight w:val="1932"/>
          <w:jc w:val="center"/>
        </w:trPr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tabs>
                <w:tab w:val="left" w:pos="1805"/>
                <w:tab w:val="left" w:pos="22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FE9">
              <w:rPr>
                <w:sz w:val="24"/>
                <w:szCs w:val="24"/>
              </w:rPr>
              <w:t>Витрати, пов’язані із веденням</w:t>
            </w:r>
            <w:r w:rsidRPr="00E27FE9">
              <w:rPr>
                <w:sz w:val="24"/>
                <w:szCs w:val="24"/>
              </w:rPr>
              <w:tab/>
            </w:r>
            <w:r w:rsidRPr="00E27FE9">
              <w:rPr>
                <w:sz w:val="24"/>
                <w:szCs w:val="24"/>
              </w:rPr>
              <w:tab/>
              <w:t>обліку, підготовкою та поданням звітності</w:t>
            </w:r>
            <w:r w:rsidRPr="00E27FE9">
              <w:rPr>
                <w:sz w:val="24"/>
                <w:szCs w:val="24"/>
                <w:lang w:val="ru-RU"/>
              </w:rPr>
              <w:t xml:space="preserve"> </w:t>
            </w:r>
            <w:r w:rsidRPr="00E27FE9">
              <w:rPr>
                <w:sz w:val="24"/>
                <w:szCs w:val="24"/>
              </w:rPr>
              <w:t xml:space="preserve">державним органам (витрати часу персоналу) </w:t>
            </w:r>
          </w:p>
          <w:p w:rsidR="00E037E0" w:rsidRPr="00E27FE9" w:rsidRDefault="00E037E0" w:rsidP="00E075D4">
            <w:pPr>
              <w:pStyle w:val="TableParagraph"/>
              <w:tabs>
                <w:tab w:val="left" w:pos="1805"/>
                <w:tab w:val="left" w:pos="222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27FE9">
              <w:rPr>
                <w:i/>
                <w:sz w:val="24"/>
                <w:szCs w:val="24"/>
              </w:rPr>
              <w:t>0,2 годин на підготовку звіту + 1,3 годин на подання</w:t>
            </w:r>
            <w:r w:rsidRPr="00E27FE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E27FE9">
              <w:rPr>
                <w:i/>
                <w:sz w:val="24"/>
                <w:szCs w:val="24"/>
              </w:rPr>
              <w:t>х</w:t>
            </w:r>
            <w:r w:rsidRPr="00E27FE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27FE9">
              <w:rPr>
                <w:i/>
                <w:sz w:val="24"/>
                <w:szCs w:val="24"/>
              </w:rPr>
              <w:t>26,53 грн. = 39,80 грн.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39,80 грн.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39,80</w:t>
            </w:r>
          </w:p>
        </w:tc>
        <w:tc>
          <w:tcPr>
            <w:tcW w:w="0" w:type="auto"/>
          </w:tcPr>
          <w:p w:rsidR="00E037E0" w:rsidRPr="00E27FE9" w:rsidRDefault="00E037E0" w:rsidP="00E075D4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E9">
              <w:rPr>
                <w:sz w:val="24"/>
                <w:szCs w:val="24"/>
              </w:rPr>
              <w:t>0,0.</w:t>
            </w:r>
          </w:p>
        </w:tc>
      </w:tr>
    </w:tbl>
    <w:p w:rsidR="003C3E6F" w:rsidRDefault="00E037E0" w:rsidP="003C3E6F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C3E6F">
        <w:rPr>
          <w:i/>
          <w:sz w:val="24"/>
          <w:szCs w:val="28"/>
        </w:rPr>
        <w:t>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</w:t>
      </w:r>
      <w:r w:rsidRPr="003C3E6F">
        <w:rPr>
          <w:i/>
          <w:spacing w:val="-3"/>
          <w:sz w:val="24"/>
          <w:szCs w:val="28"/>
        </w:rPr>
        <w:t xml:space="preserve"> </w:t>
      </w:r>
      <w:r w:rsidRPr="003C3E6F">
        <w:rPr>
          <w:i/>
          <w:sz w:val="24"/>
          <w:szCs w:val="28"/>
        </w:rPr>
        <w:t>кваліфікації).</w:t>
      </w:r>
    </w:p>
    <w:p w:rsidR="003C3E6F" w:rsidRPr="003C3E6F" w:rsidRDefault="003C3E6F" w:rsidP="003C3E6F">
      <w:pPr>
        <w:pStyle w:val="aa"/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C3E6F">
        <w:rPr>
          <w:i/>
          <w:sz w:val="24"/>
          <w:szCs w:val="28"/>
        </w:rPr>
        <w:t>**Витрати на 5 років не розраховувалися, оскільки термін дії регуляторного акта становить 1 рік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41"/>
        <w:gridCol w:w="2099"/>
        <w:gridCol w:w="2246"/>
        <w:gridCol w:w="817"/>
        <w:gridCol w:w="1645"/>
      </w:tblGrid>
      <w:tr w:rsidR="00E037E0" w:rsidRPr="00A65F9B" w:rsidTr="00FA1CCC">
        <w:trPr>
          <w:trHeight w:val="1933"/>
          <w:jc w:val="center"/>
        </w:trPr>
        <w:tc>
          <w:tcPr>
            <w:tcW w:w="2841" w:type="dxa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880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Вид витрат</w:t>
            </w:r>
          </w:p>
        </w:tc>
        <w:tc>
          <w:tcPr>
            <w:tcW w:w="2099" w:type="dxa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17" w:right="-15" w:hanging="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Витрати* на адміністрування заходів державного нагляду (контролю) (за</w:t>
            </w: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610" w:right="491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35" w:right="32" w:firstLine="1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87" w:right="80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Разом за рік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230" w:right="206" w:firstLine="7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 п’ять років</w:t>
            </w:r>
            <w:r w:rsidR="003C3E6F">
              <w:rPr>
                <w:sz w:val="24"/>
                <w:szCs w:val="24"/>
              </w:rPr>
              <w:t>**</w:t>
            </w:r>
          </w:p>
        </w:tc>
      </w:tr>
      <w:tr w:rsidR="00E037E0" w:rsidRPr="00A65F9B" w:rsidTr="00FA1CCC">
        <w:trPr>
          <w:trHeight w:val="2208"/>
          <w:jc w:val="center"/>
        </w:trPr>
        <w:tc>
          <w:tcPr>
            <w:tcW w:w="2841" w:type="dxa"/>
          </w:tcPr>
          <w:p w:rsidR="00E037E0" w:rsidRPr="00A65F9B" w:rsidRDefault="00E037E0" w:rsidP="00E075D4">
            <w:pPr>
              <w:pStyle w:val="TableParagraph"/>
              <w:tabs>
                <w:tab w:val="left" w:pos="2065"/>
                <w:tab w:val="left" w:pos="2099"/>
              </w:tabs>
              <w:spacing w:after="0" w:line="240" w:lineRule="auto"/>
              <w:ind w:left="151" w:right="141"/>
              <w:jc w:val="both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Витрати, пов’язані з адмініструванням заходів державного</w:t>
            </w:r>
            <w:r w:rsidRPr="00A65F9B">
              <w:rPr>
                <w:sz w:val="24"/>
                <w:szCs w:val="24"/>
                <w:lang w:val="ru-RU"/>
              </w:rPr>
              <w:t xml:space="preserve"> </w:t>
            </w:r>
            <w:r w:rsidRPr="00A65F9B">
              <w:rPr>
                <w:sz w:val="24"/>
                <w:szCs w:val="24"/>
              </w:rPr>
              <w:t xml:space="preserve">нагляду (контролю) (перевірок, </w:t>
            </w:r>
            <w:proofErr w:type="spellStart"/>
            <w:r w:rsidRPr="00A65F9B">
              <w:rPr>
                <w:sz w:val="24"/>
                <w:szCs w:val="24"/>
                <w:lang w:val="ru-RU"/>
              </w:rPr>
              <w:t>ш</w:t>
            </w:r>
            <w:r w:rsidRPr="00A65F9B">
              <w:rPr>
                <w:sz w:val="24"/>
                <w:szCs w:val="24"/>
              </w:rPr>
              <w:t>трафних</w:t>
            </w:r>
            <w:proofErr w:type="spellEnd"/>
            <w:r w:rsidRPr="00A65F9B">
              <w:rPr>
                <w:sz w:val="24"/>
                <w:szCs w:val="24"/>
              </w:rPr>
              <w:t xml:space="preserve"> санкцій,</w:t>
            </w:r>
          </w:p>
          <w:p w:rsidR="00E037E0" w:rsidRPr="00A65F9B" w:rsidRDefault="00E037E0" w:rsidP="00E075D4">
            <w:pPr>
              <w:pStyle w:val="TableParagraph"/>
              <w:tabs>
                <w:tab w:val="left" w:pos="2124"/>
              </w:tabs>
              <w:spacing w:after="0" w:line="240" w:lineRule="auto"/>
              <w:ind w:left="151" w:right="141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виконання рішень/ приписів тощо)</w:t>
            </w:r>
          </w:p>
          <w:p w:rsidR="00E037E0" w:rsidRPr="00A65F9B" w:rsidRDefault="00E037E0" w:rsidP="00E075D4">
            <w:pPr>
              <w:pStyle w:val="TableParagraph"/>
              <w:tabs>
                <w:tab w:val="left" w:pos="2124"/>
              </w:tabs>
              <w:spacing w:after="0" w:line="240" w:lineRule="auto"/>
              <w:ind w:left="151" w:right="141"/>
              <w:rPr>
                <w:i/>
                <w:sz w:val="24"/>
                <w:szCs w:val="24"/>
              </w:rPr>
            </w:pPr>
            <w:r w:rsidRPr="00A65F9B">
              <w:rPr>
                <w:i/>
                <w:sz w:val="24"/>
                <w:szCs w:val="24"/>
              </w:rPr>
              <w:lastRenderedPageBreak/>
              <w:t xml:space="preserve">0,5 годин х26,53=13,27 </w:t>
            </w:r>
            <w:proofErr w:type="spellStart"/>
            <w:r w:rsidRPr="00A65F9B">
              <w:rPr>
                <w:i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099" w:type="dxa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610" w:right="604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13,27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769" w:right="76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87" w:right="7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13,27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625" w:right="620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</w:tr>
    </w:tbl>
    <w:p w:rsidR="00E037E0" w:rsidRPr="00DE1B31" w:rsidRDefault="00E037E0" w:rsidP="00E037E0">
      <w:pPr>
        <w:pStyle w:val="a8"/>
        <w:spacing w:after="0" w:line="240" w:lineRule="auto"/>
        <w:rPr>
          <w:sz w:val="28"/>
          <w:szCs w:val="28"/>
        </w:rPr>
      </w:pPr>
    </w:p>
    <w:p w:rsidR="003C3E6F" w:rsidRDefault="00E037E0" w:rsidP="003C3E6F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C3E6F">
        <w:rPr>
          <w:i/>
          <w:sz w:val="24"/>
          <w:szCs w:val="28"/>
        </w:rPr>
        <w:t>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</w:t>
      </w:r>
      <w:r w:rsidRPr="003C3E6F">
        <w:rPr>
          <w:i/>
          <w:spacing w:val="-3"/>
          <w:sz w:val="24"/>
          <w:szCs w:val="28"/>
        </w:rPr>
        <w:t xml:space="preserve"> </w:t>
      </w:r>
      <w:r w:rsidRPr="003C3E6F">
        <w:rPr>
          <w:i/>
          <w:sz w:val="24"/>
          <w:szCs w:val="28"/>
        </w:rPr>
        <w:t>кваліфікації.</w:t>
      </w:r>
    </w:p>
    <w:p w:rsidR="003C3E6F" w:rsidRPr="003C3E6F" w:rsidRDefault="003C3E6F" w:rsidP="003C3E6F">
      <w:pPr>
        <w:pStyle w:val="aa"/>
        <w:tabs>
          <w:tab w:val="left" w:pos="851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C3E6F">
        <w:rPr>
          <w:i/>
          <w:sz w:val="24"/>
          <w:szCs w:val="28"/>
        </w:rPr>
        <w:t>**Витрати на 5 років не розраховувалися, оскільки термін дії регуляторного акта становить 1 рік</w:t>
      </w:r>
    </w:p>
    <w:p w:rsidR="00E037E0" w:rsidRPr="00DE1B31" w:rsidRDefault="00E037E0" w:rsidP="00E037E0">
      <w:pPr>
        <w:pStyle w:val="a8"/>
        <w:spacing w:after="0" w:line="240" w:lineRule="auto"/>
        <w:rPr>
          <w:sz w:val="28"/>
          <w:szCs w:val="28"/>
        </w:rPr>
      </w:pPr>
    </w:p>
    <w:tbl>
      <w:tblPr>
        <w:tblW w:w="9721" w:type="dxa"/>
        <w:jc w:val="center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9"/>
        <w:gridCol w:w="1831"/>
        <w:gridCol w:w="1873"/>
        <w:gridCol w:w="1462"/>
        <w:gridCol w:w="2136"/>
      </w:tblGrid>
      <w:tr w:rsidR="00E037E0" w:rsidRPr="00A65F9B" w:rsidTr="00E075D4">
        <w:trPr>
          <w:trHeight w:val="2207"/>
          <w:jc w:val="center"/>
        </w:trPr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84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84" w:right="10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проходження відповідних процедур (витрати часу, витрати на експертизи,</w:t>
            </w: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184" w:right="10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тощо)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84" w:right="44" w:hanging="5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84" w:right="87" w:hanging="2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Разом за рік (стартовий)</w:t>
            </w:r>
          </w:p>
        </w:tc>
        <w:tc>
          <w:tcPr>
            <w:tcW w:w="2136" w:type="dxa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84" w:right="212" w:firstLine="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 п’ять років</w:t>
            </w:r>
            <w:r w:rsidR="003C3E6F">
              <w:rPr>
                <w:sz w:val="24"/>
                <w:szCs w:val="24"/>
              </w:rPr>
              <w:t>**</w:t>
            </w:r>
          </w:p>
        </w:tc>
      </w:tr>
      <w:tr w:rsidR="00E037E0" w:rsidRPr="00A65F9B" w:rsidTr="00E075D4">
        <w:trPr>
          <w:trHeight w:val="2683"/>
          <w:jc w:val="center"/>
        </w:trPr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tabs>
                <w:tab w:val="left" w:pos="1722"/>
                <w:tab w:val="left" w:pos="1763"/>
                <w:tab w:val="left" w:pos="2148"/>
              </w:tabs>
              <w:spacing w:after="0" w:line="240" w:lineRule="auto"/>
              <w:ind w:left="151" w:right="276"/>
              <w:jc w:val="both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 xml:space="preserve">Витрати на отримання адміністративних послуг (дозволів, </w:t>
            </w:r>
            <w:r w:rsidRPr="00A65F9B">
              <w:rPr>
                <w:spacing w:val="-3"/>
                <w:sz w:val="24"/>
                <w:szCs w:val="24"/>
              </w:rPr>
              <w:t xml:space="preserve">ліцензій, </w:t>
            </w:r>
            <w:r w:rsidRPr="00A65F9B">
              <w:rPr>
                <w:sz w:val="24"/>
                <w:szCs w:val="24"/>
              </w:rPr>
              <w:t xml:space="preserve">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 </w:t>
            </w:r>
            <w:r w:rsidRPr="00A65F9B">
              <w:rPr>
                <w:spacing w:val="-3"/>
                <w:sz w:val="24"/>
                <w:szCs w:val="24"/>
              </w:rPr>
              <w:t>експертиз,</w:t>
            </w:r>
          </w:p>
          <w:p w:rsidR="00E037E0" w:rsidRPr="00A65F9B" w:rsidRDefault="00E037E0" w:rsidP="00E075D4">
            <w:pPr>
              <w:pStyle w:val="TableParagraph"/>
              <w:tabs>
                <w:tab w:val="left" w:pos="1722"/>
                <w:tab w:val="left" w:pos="2148"/>
              </w:tabs>
              <w:spacing w:after="0" w:line="240" w:lineRule="auto"/>
              <w:ind w:left="151" w:right="276"/>
              <w:jc w:val="both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страхування тощо)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14" w:right="109"/>
              <w:jc w:val="center"/>
              <w:rPr>
                <w:sz w:val="24"/>
                <w:szCs w:val="24"/>
              </w:rPr>
            </w:pPr>
            <w:r w:rsidRPr="00A65F9B">
              <w:rPr>
                <w:color w:val="auto"/>
                <w:sz w:val="24"/>
                <w:szCs w:val="24"/>
              </w:rPr>
              <w:t>Податок не є новим, додаткових витрат не передбачено.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303" w:right="13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247" w:right="234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  <w:tc>
          <w:tcPr>
            <w:tcW w:w="2136" w:type="dxa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318" w:right="31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</w:tr>
      <w:tr w:rsidR="00E037E0" w:rsidRPr="00A65F9B" w:rsidTr="00E075D4">
        <w:trPr>
          <w:trHeight w:val="827"/>
          <w:jc w:val="center"/>
        </w:trPr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9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gridSpan w:val="2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99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За рік (стартовий)</w:t>
            </w:r>
          </w:p>
        </w:tc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45" w:hanging="1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Періодичні (за наступний рік)</w:t>
            </w:r>
          </w:p>
        </w:tc>
        <w:tc>
          <w:tcPr>
            <w:tcW w:w="2136" w:type="dxa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99" w:right="212" w:firstLine="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 п’ять років</w:t>
            </w:r>
            <w:r w:rsidR="003C3E6F">
              <w:rPr>
                <w:sz w:val="24"/>
                <w:szCs w:val="24"/>
              </w:rPr>
              <w:t>**</w:t>
            </w:r>
          </w:p>
        </w:tc>
      </w:tr>
      <w:tr w:rsidR="00E037E0" w:rsidRPr="00A65F9B" w:rsidTr="00E075D4">
        <w:trPr>
          <w:trHeight w:val="827"/>
          <w:jc w:val="center"/>
        </w:trPr>
        <w:tc>
          <w:tcPr>
            <w:tcW w:w="0" w:type="auto"/>
            <w:tcBorders>
              <w:bottom w:val="single" w:sz="8" w:space="0" w:color="000000"/>
            </w:tcBorders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4" w:right="42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оборотні активи (матеріали, канцелярські</w:t>
            </w: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товари тощо)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38" w:right="49" w:firstLine="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Незначні (роздрукування та заповнення бланку декларації на 4</w:t>
            </w: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1310" w:right="1318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аркушах)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247" w:right="238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Незначні</w:t>
            </w:r>
          </w:p>
        </w:tc>
        <w:tc>
          <w:tcPr>
            <w:tcW w:w="2136" w:type="dxa"/>
            <w:tcBorders>
              <w:bottom w:val="single" w:sz="8" w:space="0" w:color="000000"/>
            </w:tcBorders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319" w:right="31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Незначні</w:t>
            </w:r>
          </w:p>
        </w:tc>
      </w:tr>
      <w:tr w:rsidR="00E037E0" w:rsidRPr="00A65F9B" w:rsidTr="00E075D4">
        <w:trPr>
          <w:trHeight w:val="553"/>
          <w:jc w:val="center"/>
        </w:trPr>
        <w:tc>
          <w:tcPr>
            <w:tcW w:w="0" w:type="auto"/>
            <w:tcBorders>
              <w:top w:val="single" w:sz="8" w:space="0" w:color="000000"/>
            </w:tcBorders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lastRenderedPageBreak/>
              <w:t>Вид витрат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57" w:right="14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на оплату праці додатково найманого</w:t>
            </w: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57" w:right="142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персоналу (за рік)</w:t>
            </w: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 за</w:t>
            </w: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п’ять років</w:t>
            </w:r>
          </w:p>
        </w:tc>
      </w:tr>
      <w:tr w:rsidR="00E037E0" w:rsidRPr="00A65F9B" w:rsidTr="00E075D4">
        <w:trPr>
          <w:trHeight w:val="276"/>
          <w:jc w:val="center"/>
        </w:trPr>
        <w:tc>
          <w:tcPr>
            <w:tcW w:w="0" w:type="auto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Витрати, пов’язані із наймом додаткового</w:t>
            </w:r>
          </w:p>
          <w:p w:rsidR="00E037E0" w:rsidRPr="00A65F9B" w:rsidRDefault="00E037E0" w:rsidP="00E075D4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персоналу</w:t>
            </w:r>
          </w:p>
        </w:tc>
        <w:tc>
          <w:tcPr>
            <w:tcW w:w="0" w:type="auto"/>
            <w:gridSpan w:val="3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173" w:right="17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Не передбачається у зв’язку із тим, що великі та середні підприємства звичайно мають у штаті бухгалтера</w:t>
            </w:r>
          </w:p>
        </w:tc>
        <w:tc>
          <w:tcPr>
            <w:tcW w:w="2136" w:type="dxa"/>
          </w:tcPr>
          <w:p w:rsidR="00E037E0" w:rsidRPr="00A65F9B" w:rsidRDefault="00E037E0" w:rsidP="00E075D4">
            <w:pPr>
              <w:pStyle w:val="TableParagraph"/>
              <w:spacing w:after="0" w:line="240" w:lineRule="auto"/>
              <w:ind w:left="318" w:right="313"/>
              <w:jc w:val="center"/>
              <w:rPr>
                <w:sz w:val="24"/>
                <w:szCs w:val="24"/>
              </w:rPr>
            </w:pPr>
            <w:r w:rsidRPr="00A65F9B">
              <w:rPr>
                <w:sz w:val="24"/>
                <w:szCs w:val="24"/>
              </w:rPr>
              <w:t>0,0</w:t>
            </w:r>
          </w:p>
        </w:tc>
      </w:tr>
    </w:tbl>
    <w:p w:rsidR="003C3E6F" w:rsidRPr="005D18CA" w:rsidRDefault="003C3E6F" w:rsidP="003C3E6F">
      <w:pPr>
        <w:pStyle w:val="aa"/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5D18CA">
        <w:rPr>
          <w:i/>
          <w:sz w:val="24"/>
          <w:szCs w:val="28"/>
        </w:rPr>
        <w:t>**Витрати на 5 років не розраховувалися, оскільки термін дії регуляторного акта становить 1 рік</w:t>
      </w:r>
    </w:p>
    <w:p w:rsidR="00E037E0" w:rsidRDefault="00E037E0" w:rsidP="00E037E0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037E0" w:rsidRDefault="00E037E0" w:rsidP="00E037E0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A1CCC" w:rsidRDefault="00FA1CCC" w:rsidP="00E037E0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037E0" w:rsidRPr="00DD4109" w:rsidRDefault="00E037E0" w:rsidP="00E037E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І.В.Лещенко</w:t>
      </w:r>
    </w:p>
    <w:p w:rsidR="00E037E0" w:rsidRPr="006337CE" w:rsidRDefault="00E037E0" w:rsidP="00414A41">
      <w:pPr>
        <w:pStyle w:val="Textbody"/>
        <w:spacing w:after="0" w:line="240" w:lineRule="auto"/>
        <w:rPr>
          <w:rFonts w:ascii="Times New Roman" w:hAnsi="Times New Roman"/>
          <w:color w:val="auto"/>
          <w:sz w:val="24"/>
          <w:szCs w:val="24"/>
          <w:lang w:val="uk-UA"/>
        </w:rPr>
      </w:pPr>
    </w:p>
    <w:sectPr w:rsidR="00E037E0" w:rsidRPr="006337CE" w:rsidSect="00B54B93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86" w:rsidRDefault="00F82F86">
      <w:pPr>
        <w:spacing w:line="240" w:lineRule="auto"/>
      </w:pPr>
      <w:r>
        <w:separator/>
      </w:r>
    </w:p>
  </w:endnote>
  <w:endnote w:type="continuationSeparator" w:id="0">
    <w:p w:rsidR="00F82F86" w:rsidRDefault="00F82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86" w:rsidRDefault="00F82F86">
      <w:pPr>
        <w:spacing w:line="240" w:lineRule="auto"/>
      </w:pPr>
      <w:r>
        <w:separator/>
      </w:r>
    </w:p>
  </w:footnote>
  <w:footnote w:type="continuationSeparator" w:id="0">
    <w:p w:rsidR="00F82F86" w:rsidRDefault="00F82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*"/>
      <w:lvlJc w:val="left"/>
      <w:pPr>
        <w:ind w:left="1102" w:hanging="23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1">
      <w:numFmt w:val="bullet"/>
      <w:lvlText w:val="•"/>
      <w:lvlJc w:val="left"/>
      <w:pPr>
        <w:ind w:left="2090" w:hanging="238"/>
      </w:pPr>
      <w:rPr>
        <w:rFonts w:hint="default"/>
        <w:lang w:val="uk-UA" w:eastAsia="uk-UA" w:bidi="uk-UA"/>
      </w:rPr>
    </w:lvl>
    <w:lvl w:ilvl="2">
      <w:numFmt w:val="bullet"/>
      <w:lvlText w:val="•"/>
      <w:lvlJc w:val="left"/>
      <w:pPr>
        <w:ind w:left="3081" w:hanging="238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071" w:hanging="23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62" w:hanging="23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053" w:hanging="23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43" w:hanging="23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034" w:hanging="23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025" w:hanging="238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6BC"/>
    <w:rsid w:val="001E4BA1"/>
    <w:rsid w:val="00307549"/>
    <w:rsid w:val="003C3E6F"/>
    <w:rsid w:val="00414A41"/>
    <w:rsid w:val="005D56BC"/>
    <w:rsid w:val="0061193A"/>
    <w:rsid w:val="006337CE"/>
    <w:rsid w:val="009D27B2"/>
    <w:rsid w:val="00A04B70"/>
    <w:rsid w:val="00B54B93"/>
    <w:rsid w:val="00CD55E1"/>
    <w:rsid w:val="00D0556F"/>
    <w:rsid w:val="00E037E0"/>
    <w:rsid w:val="00E318C1"/>
    <w:rsid w:val="00F82F86"/>
    <w:rsid w:val="00FA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B93"/>
  </w:style>
  <w:style w:type="paragraph" w:styleId="1">
    <w:name w:val="heading 1"/>
    <w:basedOn w:val="a"/>
    <w:next w:val="Standard"/>
    <w:rsid w:val="00B54B9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B54B9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B54B9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B54B9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B54B9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rsid w:val="00B54B9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B93"/>
  </w:style>
  <w:style w:type="paragraph" w:customStyle="1" w:styleId="Heading">
    <w:name w:val="Heading"/>
    <w:basedOn w:val="Standard"/>
    <w:next w:val="Textbody"/>
    <w:rsid w:val="00B54B93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rsid w:val="00B54B93"/>
    <w:pPr>
      <w:spacing w:after="140" w:line="288" w:lineRule="auto"/>
    </w:pPr>
  </w:style>
  <w:style w:type="paragraph" w:styleId="a3">
    <w:name w:val="List"/>
    <w:basedOn w:val="Textbody"/>
    <w:rsid w:val="00B54B93"/>
    <w:rPr>
      <w:sz w:val="24"/>
    </w:rPr>
  </w:style>
  <w:style w:type="paragraph" w:styleId="a4">
    <w:name w:val="caption"/>
    <w:basedOn w:val="Standard"/>
    <w:rsid w:val="00B54B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B54B93"/>
    <w:pPr>
      <w:suppressLineNumbers/>
    </w:pPr>
    <w:rPr>
      <w:sz w:val="24"/>
    </w:rPr>
  </w:style>
  <w:style w:type="paragraph" w:styleId="a5">
    <w:name w:val="Title"/>
    <w:basedOn w:val="a"/>
    <w:next w:val="Standard"/>
    <w:rsid w:val="00B54B93"/>
    <w:pPr>
      <w:keepNext/>
      <w:keepLines/>
      <w:spacing w:after="60" w:line="240" w:lineRule="auto"/>
    </w:pPr>
    <w:rPr>
      <w:sz w:val="52"/>
      <w:szCs w:val="52"/>
    </w:rPr>
  </w:style>
  <w:style w:type="paragraph" w:styleId="a6">
    <w:name w:val="Subtitle"/>
    <w:basedOn w:val="a"/>
    <w:next w:val="Standard"/>
    <w:rsid w:val="00B54B9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a7">
    <w:name w:val="header"/>
    <w:basedOn w:val="Standard"/>
    <w:rsid w:val="00B54B93"/>
  </w:style>
  <w:style w:type="paragraph" w:customStyle="1" w:styleId="TableContents">
    <w:name w:val="Table Contents"/>
    <w:basedOn w:val="Standard"/>
    <w:rsid w:val="00B54B93"/>
  </w:style>
  <w:style w:type="paragraph" w:customStyle="1" w:styleId="PreformattedText">
    <w:name w:val="Preformatted Text"/>
    <w:basedOn w:val="Standard"/>
    <w:rsid w:val="00B54B93"/>
  </w:style>
  <w:style w:type="paragraph" w:customStyle="1" w:styleId="TableHeading">
    <w:name w:val="Table Heading"/>
    <w:basedOn w:val="TableContents"/>
    <w:rsid w:val="00B54B93"/>
  </w:style>
  <w:style w:type="character" w:customStyle="1" w:styleId="BulletSymbols">
    <w:name w:val="Bullet Symbols"/>
    <w:rsid w:val="00B54B9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54B93"/>
  </w:style>
  <w:style w:type="paragraph" w:styleId="a8">
    <w:name w:val="Body Text"/>
    <w:basedOn w:val="a"/>
    <w:link w:val="a9"/>
    <w:uiPriority w:val="1"/>
    <w:qFormat/>
    <w:rsid w:val="00E037E0"/>
    <w:pPr>
      <w:spacing w:after="200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E037E0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E037E0"/>
    <w:pPr>
      <w:spacing w:after="200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List Paragraph"/>
    <w:basedOn w:val="a"/>
    <w:uiPriority w:val="1"/>
    <w:qFormat/>
    <w:rsid w:val="00E037E0"/>
    <w:pPr>
      <w:spacing w:after="200"/>
      <w:ind w:left="1102" w:firstLine="707"/>
      <w:jc w:val="both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2017-07-18T15:38:00Z</dcterms:created>
  <dcterms:modified xsi:type="dcterms:W3CDTF">2019-05-24T08:40:00Z</dcterms:modified>
</cp:coreProperties>
</file>