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A6" w:rsidRPr="00C93EC7" w:rsidRDefault="00C93EC7" w:rsidP="00C93EC7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Додатком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4</w:t>
      </w:r>
    </w:p>
    <w:p w:rsidR="00CA5CA6" w:rsidRPr="00C93EC7" w:rsidRDefault="00C93EC7" w:rsidP="00C93EC7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до Методики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аналізу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</w:p>
    <w:p w:rsidR="00CA5CA6" w:rsidRPr="00C93EC7" w:rsidRDefault="00C93EC7" w:rsidP="00C93EC7">
      <w:pPr>
        <w:pStyle w:val="Textbody"/>
        <w:spacing w:after="0" w:line="240" w:lineRule="auto"/>
        <w:ind w:firstLine="395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регуляторного акта</w:t>
      </w:r>
    </w:p>
    <w:p w:rsidR="00CA5CA6" w:rsidRPr="00C93EC7" w:rsidRDefault="00CA5CA6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ТЕСТ</w:t>
      </w:r>
    </w:p>
    <w:p w:rsidR="00CA5CA6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(М-Тест)</w:t>
      </w:r>
    </w:p>
    <w:p w:rsidR="00CA5CA6" w:rsidRPr="00C93EC7" w:rsidRDefault="00CA5CA6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Консультації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з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представниками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</w:t>
      </w:r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о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-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та малого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оцінки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p w:rsidR="00CA5CA6" w:rsidRPr="00056521" w:rsidRDefault="0040199E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Консультації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визначення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запропонованого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ідприємництва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визначення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детального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переліку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процедур,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виконання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яких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необхідно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здійснення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регулювання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проведено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розробником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період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з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18 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ерезня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2019 р. по 19 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вітня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2019 р.</w:t>
      </w:r>
    </w:p>
    <w:p w:rsidR="00C93EC7" w:rsidRPr="00056521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5624"/>
        <w:gridCol w:w="1713"/>
        <w:gridCol w:w="1701"/>
      </w:tblGrid>
      <w:tr w:rsidR="00CA5CA6" w:rsidRPr="00C93EC7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публічні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прямі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круглі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столи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наради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робочі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зустрічі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),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інтернет-консультації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прямі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інтернет-форуми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соціальні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мережі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),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запити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підприємців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експертів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науковців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Кількість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учасників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осіб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Основні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опис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</w:tr>
      <w:tr w:rsidR="00CA5CA6" w:rsidRPr="00C93EC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Телефонні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запити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бізнесу</w:t>
            </w:r>
            <w:proofErr w:type="spellEnd"/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Отримання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інформації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пропозицій</w:t>
            </w:r>
            <w:proofErr w:type="spellEnd"/>
          </w:p>
        </w:tc>
      </w:tr>
      <w:tr w:rsidR="00CA5CA6" w:rsidRPr="0040199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Засідання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постійної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комісії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питань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планування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фінансів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бюджету,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соц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іально-економічного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розвитку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житлово-комунального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господарства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та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комунальної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власності</w:t>
            </w:r>
            <w:proofErr w:type="spellEnd"/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Обговорено та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узгоджено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ставки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податку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2020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ік</w:t>
            </w:r>
            <w:proofErr w:type="spellEnd"/>
          </w:p>
        </w:tc>
      </w:tr>
    </w:tbl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2.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Вимірювання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мікро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- та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малі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):</w:t>
      </w: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кількість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поширюється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: </w:t>
      </w:r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15</w:t>
      </w: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), у тому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числі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підприємництва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4</w:t>
      </w: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) та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мікропідприємництва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11</w:t>
      </w: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);</w:t>
      </w: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питома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вага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загальній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кількості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господарювання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проблема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справляє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55,6</w:t>
      </w: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відсотків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</w:t>
      </w:r>
    </w:p>
    <w:p w:rsidR="00CA5CA6" w:rsidRPr="00C93EC7" w:rsidRDefault="00C93EC7" w:rsidP="00C93EC7">
      <w:pPr>
        <w:pStyle w:val="Textbody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Розрахунок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вимог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p w:rsidR="00CA5CA6" w:rsidRPr="00C93EC7" w:rsidRDefault="0040199E" w:rsidP="0040199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ab/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використовується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орієнтовний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мінімальний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</w:t>
      </w:r>
      <w:proofErr w:type="spellEnd"/>
      <w:proofErr w:type="gramEnd"/>
    </w:p>
    <w:p w:rsidR="00CA5CA6" w:rsidRPr="00C93EC7" w:rsidRDefault="00C93EC7" w:rsidP="0040199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заробітної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плати на 2020 </w:t>
      </w:r>
      <w:proofErr w:type="spellStart"/>
      <w:proofErr w:type="gram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ік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- 4407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грн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. </w:t>
      </w:r>
      <w:r w:rsidRPr="0005652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(лист </w:t>
      </w:r>
      <w:proofErr w:type="spellStart"/>
      <w:r w:rsidRPr="0005652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Pr="0005652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5652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фінансів</w:t>
      </w:r>
      <w:proofErr w:type="spellEnd"/>
      <w:r w:rsidRPr="0005652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5652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40199E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03.08.2018 року № 05110-14-21/20720).</w:t>
      </w:r>
    </w:p>
    <w:p w:rsidR="00CA5CA6" w:rsidRPr="00C93EC7" w:rsidRDefault="00C93EC7" w:rsidP="0040199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Норми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робочого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часу </w:t>
      </w:r>
      <w:bookmarkStart w:id="0" w:name="_GoBack"/>
      <w:bookmarkEnd w:id="0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при 40-годинному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робочому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тижні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1993</w:t>
      </w:r>
      <w:r w:rsidR="0040199E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години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(лист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соц</w:t>
      </w:r>
      <w:proofErr w:type="gram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іальної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політики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08.08.2018 року №</w:t>
      </w:r>
      <w:r w:rsidR="0040199E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78/0/206-18).</w:t>
      </w:r>
    </w:p>
    <w:p w:rsidR="00CA5CA6" w:rsidRPr="00C93EC7" w:rsidRDefault="00C93EC7" w:rsidP="0040199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Мінімальна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зарплата у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погодинному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на 2020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складає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4407/1993*12</w:t>
      </w:r>
    </w:p>
    <w:p w:rsidR="00CA5CA6" w:rsidRPr="00C93EC7" w:rsidRDefault="00C93EC7" w:rsidP="0040199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= 26,53 </w:t>
      </w:r>
      <w:proofErr w:type="spellStart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грн</w:t>
      </w:r>
      <w:proofErr w:type="spellEnd"/>
      <w:r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CA5CA6" w:rsidRPr="0040199E" w:rsidRDefault="0040199E" w:rsidP="0040199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ab/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Витрати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часу</w:t>
      </w:r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до</w:t>
      </w:r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карти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11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міжгалузевих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нормативів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</w:t>
      </w:r>
      <w:proofErr w:type="gram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іку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(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наказ</w:t>
      </w:r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lastRenderedPageBreak/>
        <w:t>соціальної</w:t>
      </w:r>
      <w:proofErr w:type="spellEnd"/>
      <w:r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політики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26.09.2003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року</w:t>
      </w:r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№269 «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Міжгалузеві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нормативи</w:t>
      </w:r>
      <w:proofErr w:type="spellEnd"/>
      <w:r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обліку</w:t>
      </w:r>
      <w:proofErr w:type="spellEnd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»).</w:t>
      </w:r>
    </w:p>
    <w:p w:rsidR="00C93EC7" w:rsidRPr="0040199E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tbl>
      <w:tblPr>
        <w:tblW w:w="9641" w:type="dxa"/>
        <w:tblInd w:w="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3102"/>
        <w:gridCol w:w="2319"/>
        <w:gridCol w:w="1868"/>
        <w:gridCol w:w="1800"/>
      </w:tblGrid>
      <w:tr w:rsidR="00CA5CA6" w:rsidRPr="00C93EC7"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перший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стартовий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Періодичні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наступний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</w:p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п'ять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</w:tr>
      <w:tr w:rsidR="00CA5CA6" w:rsidRPr="0040199E">
        <w:tc>
          <w:tcPr>
            <w:tcW w:w="96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прямих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”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gram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машин,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механізмів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Цей податок не є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новим і не передбачає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витрат на придбання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основних фондів,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обладнання та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приладів, сервісне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обслуговування,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навчання/підвищення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кваліфікації персоналу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повірки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постановки на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відповідний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експлуатаційні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витратні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технічне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A5CA6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сплата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податку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9766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9766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повинні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одиниць</w:t>
            </w:r>
            <w:proofErr w:type="spellEnd"/>
          </w:p>
        </w:tc>
        <w:tc>
          <w:tcPr>
            <w:tcW w:w="59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CA5CA6" w:rsidRPr="00C93EC7">
        <w:trPr>
          <w:trHeight w:val="772"/>
        </w:trPr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Сумарно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146499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96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вартості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малого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щодо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звітування</w:t>
            </w:r>
            <w:proofErr w:type="spellEnd"/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первинної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вимоги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</w:p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proofErr w:type="gramStart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,25год</w:t>
            </w:r>
            <w:proofErr w:type="gram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*26,53грн=6.63 </w:t>
            </w:r>
            <w:proofErr w:type="spellStart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грн</w:t>
            </w:r>
            <w:proofErr w:type="spell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Цей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податок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є</w:t>
            </w:r>
            <w:proofErr w:type="spellEnd"/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новим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не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передбачає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організацію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виконання</w:t>
            </w:r>
            <w:proofErr w:type="spellEnd"/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звітування</w:t>
            </w:r>
            <w:proofErr w:type="spellEnd"/>
          </w:p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ідготовка</w:t>
            </w:r>
            <w:proofErr w:type="spell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звіту</w:t>
            </w:r>
            <w:proofErr w:type="spell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=</w:t>
            </w:r>
          </w:p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0,2год*26,53грн=5,31 </w:t>
            </w:r>
            <w:proofErr w:type="spellStart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грн</w:t>
            </w:r>
            <w:proofErr w:type="spell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Подання</w:t>
            </w:r>
            <w:proofErr w:type="spell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звіту</w:t>
            </w:r>
            <w:proofErr w:type="spell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=</w:t>
            </w:r>
          </w:p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Start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,3год</w:t>
            </w:r>
            <w:proofErr w:type="gram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*26,53грн=34,49 </w:t>
            </w:r>
            <w:proofErr w:type="spellStart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грн</w:t>
            </w:r>
            <w:proofErr w:type="spell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39,80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</w:t>
            </w:r>
            <w:proofErr w:type="gram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ірок</w:t>
            </w:r>
            <w:proofErr w:type="spellEnd"/>
          </w:p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0,5год*26,53грн=13,27 </w:t>
            </w:r>
            <w:proofErr w:type="spellStart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грн</w:t>
            </w:r>
            <w:proofErr w:type="spellEnd"/>
            <w:r w:rsidRPr="00C93E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A5CA6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передбачено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59,70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59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Сумарно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895,50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:rsidR="00CA5CA6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*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Витрати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на </w:t>
      </w: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  <w:t>наступні роки</w:t>
      </w: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не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розраховувалися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оскільки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термін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дії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регуляторного акта – 1 </w:t>
      </w:r>
      <w:proofErr w:type="spellStart"/>
      <w:proofErr w:type="gram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ік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.</w:t>
      </w:r>
    </w:p>
    <w:p w:rsidR="00C93EC7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БЮДЖЕТНІ ВИТРАТИ</w:t>
      </w:r>
    </w:p>
    <w:p w:rsidR="00CA5CA6" w:rsidRPr="00056521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адміністрування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мікропідприємництва</w:t>
      </w:r>
      <w:proofErr w:type="spellEnd"/>
    </w:p>
    <w:p w:rsidR="00C93EC7" w:rsidRPr="00056521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Розрахунок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адміністрування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здійснюється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окремо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для </w:t>
      </w:r>
      <w:proofErr w:type="gram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кожного</w:t>
      </w:r>
      <w:proofErr w:type="gram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відповідного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органу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державної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влади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чи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органу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місцевого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що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залучений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процесу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40199E" w:rsidRDefault="0040199E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>Державний</w:t>
      </w:r>
      <w:proofErr w:type="spellEnd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орган, для </w:t>
      </w:r>
      <w:proofErr w:type="spellStart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>якого</w:t>
      </w:r>
      <w:proofErr w:type="spellEnd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>здійснюється</w:t>
      </w:r>
      <w:proofErr w:type="spellEnd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>розрахунок</w:t>
      </w:r>
      <w:proofErr w:type="spellEnd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>адміністрування</w:t>
      </w:r>
      <w:proofErr w:type="spellEnd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C93EC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>:</w:t>
      </w: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Великобагачанське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відділення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Мирогородської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ОДПІ Головного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</w:p>
    <w:p w:rsid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93EC7">
        <w:rPr>
          <w:rFonts w:ascii="Times New Roman" w:hAnsi="Times New Roman" w:cs="Times New Roman"/>
          <w:color w:val="auto"/>
          <w:sz w:val="28"/>
          <w:szCs w:val="28"/>
        </w:rPr>
        <w:t xml:space="preserve">ДФС у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</w:rPr>
        <w:t>Полтавській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proofErr w:type="spellEnd"/>
    </w:p>
    <w:p w:rsidR="00C93EC7" w:rsidRDefault="00C93EC7">
      <w:pPr>
        <w:suppressAutoHyphens w:val="0"/>
        <w:autoSpaceDN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377"/>
        <w:gridCol w:w="1172"/>
        <w:gridCol w:w="1553"/>
        <w:gridCol w:w="1369"/>
        <w:gridCol w:w="1465"/>
        <w:gridCol w:w="1816"/>
      </w:tblGrid>
      <w:tr w:rsidR="00CA5CA6" w:rsidRPr="0040199E" w:rsidTr="00C93EC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Процедура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малого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мікропідприємництва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розрахунок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одного типового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Планові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часу на процедуру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Вартість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часу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співробітника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органу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державної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влади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відповідної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категорії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заробітна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плата)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кількості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процедур за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припадають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одного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кількості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підпадають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ію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адміністрування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* (за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</w:tr>
      <w:tr w:rsidR="00CA5CA6" w:rsidRPr="00C93EC7" w:rsidTr="00C93EC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суб’єкта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перебуває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сфері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</w:tr>
      <w:tr w:rsidR="00CA5CA6" w:rsidRPr="00C93EC7" w:rsidTr="00C93EC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Поточний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контроль за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суб’єктом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перебуває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сфері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числі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камеральні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198,98</w:t>
            </w:r>
          </w:p>
        </w:tc>
      </w:tr>
      <w:tr w:rsidR="00CA5CA6" w:rsidRPr="00C93EC7" w:rsidTr="00C93EC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Поточний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контроль за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суб’єктом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перебуває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сфері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числі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виїзні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 w:rsidTr="00C93EC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ідготовка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опрацювання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одного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окремого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акта про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порушення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0,05**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9,95</w:t>
            </w:r>
          </w:p>
        </w:tc>
      </w:tr>
      <w:tr w:rsidR="00CA5CA6" w:rsidRPr="00C93EC7" w:rsidTr="00C93EC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Реалізація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одного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окремого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ішення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щодо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порушення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0,05**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9,95</w:t>
            </w:r>
          </w:p>
        </w:tc>
      </w:tr>
      <w:tr w:rsidR="00CA5CA6" w:rsidRPr="00C93EC7" w:rsidTr="00C93EC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Оскарження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одного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окремого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ішення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суб’єктами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господарювання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0,05**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9,95</w:t>
            </w:r>
          </w:p>
        </w:tc>
      </w:tr>
      <w:tr w:rsidR="00CA5CA6" w:rsidRPr="00C93EC7" w:rsidTr="00C93EC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ідготовка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звітності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</w:tr>
      <w:tr w:rsidR="00CA5CA6" w:rsidRPr="00C93EC7" w:rsidTr="00C93EC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388,01</w:t>
            </w:r>
          </w:p>
        </w:tc>
      </w:tr>
    </w:tbl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</w:pPr>
      <w:proofErr w:type="gram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*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Вартість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витрат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пов'язаних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з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адмініструванням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процесу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регулювання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державними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органами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визначається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шляхом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множення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фактичних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витрат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часу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персоналу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на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заробітну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плату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спеціаліста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відповідної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кваліфікації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та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на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кількість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суб'єктів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що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підпадають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під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дію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процедури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регулювання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та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на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кількість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процедур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за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рік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</w:rPr>
        <w:t>.</w:t>
      </w:r>
      <w:proofErr w:type="gramEnd"/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  <w:lang w:val="ru-RU"/>
        </w:rPr>
        <w:t xml:space="preserve">** Для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  <w:lang w:val="ru-RU"/>
        </w:rPr>
        <w:t>розрахунку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  <w:lang w:val="ru-RU"/>
        </w:rPr>
        <w:t xml:space="preserve"> взято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  <w:lang w:val="ru-RU"/>
        </w:rPr>
        <w:t>імовірність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  <w:lang w:val="ru-RU"/>
        </w:rPr>
        <w:t>порушення</w:t>
      </w:r>
      <w:proofErr w:type="spellEnd"/>
      <w:r w:rsidRPr="00C93EC7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FFFFFF"/>
          <w:lang w:val="ru-RU"/>
        </w:rPr>
        <w:t xml:space="preserve"> 5%.</w:t>
      </w: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4.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Розрахунок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сумарних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що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виникають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вимог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5"/>
        <w:gridCol w:w="3286"/>
        <w:gridCol w:w="2763"/>
        <w:gridCol w:w="2771"/>
      </w:tblGrid>
      <w:tr w:rsidR="00CA5CA6" w:rsidRPr="00C93EC7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Показник</w:t>
            </w:r>
            <w:proofErr w:type="spellEnd"/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Перший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стартовий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),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п'ять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гривень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*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“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прямих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”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суб’єктів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4019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146499</w:t>
            </w:r>
            <w:r w:rsidR="0040199E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,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75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вартості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адміністративних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процедур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для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суб’єктів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малого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підприємництва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щодо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звітування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895,50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147395,25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Бюджетні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 на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адміністрування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суб’єктів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388,01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147783,26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</w:tbl>
    <w:p w:rsidR="00CA5CA6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*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Витрати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на 5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років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не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розраховувалися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оскільки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термін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дії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регуляторного акта – 1 </w:t>
      </w:r>
      <w:proofErr w:type="spellStart"/>
      <w:proofErr w:type="gram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ік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.</w:t>
      </w:r>
    </w:p>
    <w:p w:rsidR="00C93EC7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</w:p>
    <w:p w:rsid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5.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Розроблення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корегуючих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пом'якшувальних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)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заходів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для 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CA5CA6" w:rsidRPr="00C93EC7" w:rsidRDefault="0040199E" w:rsidP="0040199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Даний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податок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не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є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новим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апропоновані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розміри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ставок земельного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податку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забезпечать</w:t>
      </w:r>
      <w:proofErr w:type="spellEnd"/>
      <w:r w:rsidR="001430D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виконання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соц</w:t>
      </w:r>
      <w:proofErr w:type="gram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іально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важливих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цільових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програм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 На основі аналізу статистичних даних, що надані бухгалтерією виконавчого комітету Білоцерківської сільської ради визначено, що податкове навантаження є прийнятним для суб’єктів малого підприємництва і впровадження компенсаторних процедур не потрібно.</w:t>
      </w: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7"/>
        <w:gridCol w:w="3645"/>
      </w:tblGrid>
      <w:tr w:rsidR="00CA5CA6" w:rsidRPr="00C93EC7"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Процедура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потребує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корегування</w:t>
            </w:r>
            <w:proofErr w:type="spellEnd"/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Корегуючий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механізм</w:t>
            </w:r>
            <w:proofErr w:type="spellEnd"/>
          </w:p>
        </w:tc>
      </w:tr>
      <w:tr w:rsidR="00CA5CA6" w:rsidRPr="00C93EC7">
        <w:tc>
          <w:tcPr>
            <w:tcW w:w="6107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передбачено</w:t>
            </w:r>
            <w:proofErr w:type="spellEnd"/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передбачено</w:t>
            </w:r>
            <w:proofErr w:type="spellEnd"/>
          </w:p>
        </w:tc>
      </w:tr>
    </w:tbl>
    <w:p w:rsidR="00CA5CA6" w:rsidRPr="00C93EC7" w:rsidRDefault="00CA5CA6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0"/>
        <w:gridCol w:w="2581"/>
        <w:gridCol w:w="2527"/>
      </w:tblGrid>
      <w:tr w:rsidR="00CA5CA6" w:rsidRPr="0040199E"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Показник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за перший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за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п'ять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років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*</w:t>
            </w:r>
          </w:p>
        </w:tc>
      </w:tr>
      <w:tr w:rsidR="00CA5CA6" w:rsidRPr="00C93EC7"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Заплановане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регулювання</w:t>
            </w:r>
            <w:proofErr w:type="spellEnd"/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147395,25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lastRenderedPageBreak/>
              <w:t xml:space="preserve">За умов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застосування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компенсаторних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механізмів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для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передбачено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передбачено</w:t>
            </w:r>
            <w:proofErr w:type="spellEnd"/>
          </w:p>
        </w:tc>
      </w:tr>
      <w:tr w:rsidR="00CA5CA6" w:rsidRPr="00C93EC7"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Сумарно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: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зміна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вартості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</w:tr>
    </w:tbl>
    <w:p w:rsidR="00CA5CA6" w:rsidRPr="00056521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*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Витрати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на 5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років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не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розраховувалися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оскільки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термін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дії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регуляторного акта – 1 </w:t>
      </w:r>
      <w:proofErr w:type="spellStart"/>
      <w:proofErr w:type="gram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ік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.</w:t>
      </w:r>
    </w:p>
    <w:p w:rsidR="00C93EC7" w:rsidRPr="00056521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</w:p>
    <w:p w:rsidR="00C93EC7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</w:pPr>
    </w:p>
    <w:p w:rsidR="00C93EC7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</w:pPr>
    </w:p>
    <w:p w:rsidR="00C93EC7" w:rsidRPr="00C93EC7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</w:pPr>
    </w:p>
    <w:p w:rsidR="00C93EC7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>Сільський</w:t>
      </w:r>
      <w:proofErr w:type="spellEnd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>голова</w:t>
      </w:r>
      <w:proofErr w:type="spellEnd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="0040199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  <w:t xml:space="preserve">І.В. </w:t>
      </w:r>
      <w:proofErr w:type="spellStart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>Лещенко</w:t>
      </w:r>
      <w:proofErr w:type="spellEnd"/>
    </w:p>
    <w:sectPr w:rsidR="00C93EC7" w:rsidRPr="00C93EC7" w:rsidSect="00CA5CA6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07E2"/>
    <w:multiLevelType w:val="singleLevel"/>
    <w:tmpl w:val="4B5F07E2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7053A7"/>
    <w:rsid w:val="00056521"/>
    <w:rsid w:val="001069CB"/>
    <w:rsid w:val="001430D8"/>
    <w:rsid w:val="00345A4F"/>
    <w:rsid w:val="0040199E"/>
    <w:rsid w:val="004F709F"/>
    <w:rsid w:val="007053A7"/>
    <w:rsid w:val="00803F50"/>
    <w:rsid w:val="008F7044"/>
    <w:rsid w:val="00A04C28"/>
    <w:rsid w:val="00BE456D"/>
    <w:rsid w:val="00C93EC7"/>
    <w:rsid w:val="00CA5CA6"/>
    <w:rsid w:val="11A423C2"/>
    <w:rsid w:val="290A604F"/>
    <w:rsid w:val="2BA23F58"/>
    <w:rsid w:val="49E4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5CA6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1">
    <w:name w:val="heading 1"/>
    <w:basedOn w:val="a"/>
    <w:next w:val="Standard"/>
    <w:qFormat/>
    <w:rsid w:val="00CA5CA6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rsid w:val="00CA5CA6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rsid w:val="00CA5CA6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rsid w:val="00CA5CA6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rsid w:val="00CA5CA6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rsid w:val="00CA5CA6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5CA6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3">
    <w:name w:val="caption"/>
    <w:basedOn w:val="Standard"/>
    <w:next w:val="a"/>
    <w:qFormat/>
    <w:rsid w:val="00CA5CA6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header"/>
    <w:basedOn w:val="Standard"/>
    <w:qFormat/>
    <w:rsid w:val="00CA5CA6"/>
  </w:style>
  <w:style w:type="paragraph" w:styleId="a5">
    <w:name w:val="Title"/>
    <w:basedOn w:val="a"/>
    <w:next w:val="Standard"/>
    <w:qFormat/>
    <w:rsid w:val="00CA5CA6"/>
    <w:pPr>
      <w:keepNext/>
      <w:keepLines/>
      <w:spacing w:after="60" w:line="240" w:lineRule="auto"/>
    </w:pPr>
    <w:rPr>
      <w:sz w:val="52"/>
      <w:szCs w:val="52"/>
    </w:rPr>
  </w:style>
  <w:style w:type="paragraph" w:styleId="a6">
    <w:name w:val="List"/>
    <w:basedOn w:val="Textbody"/>
    <w:qFormat/>
    <w:rsid w:val="00CA5CA6"/>
    <w:rPr>
      <w:sz w:val="24"/>
    </w:rPr>
  </w:style>
  <w:style w:type="paragraph" w:customStyle="1" w:styleId="Textbody">
    <w:name w:val="Text body"/>
    <w:basedOn w:val="Standard"/>
    <w:rsid w:val="00CA5CA6"/>
    <w:pPr>
      <w:spacing w:after="140" w:line="288" w:lineRule="auto"/>
    </w:pPr>
  </w:style>
  <w:style w:type="paragraph" w:styleId="a7">
    <w:name w:val="Subtitle"/>
    <w:basedOn w:val="a"/>
    <w:next w:val="Standard"/>
    <w:qFormat/>
    <w:rsid w:val="00CA5CA6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ing">
    <w:name w:val="Heading"/>
    <w:basedOn w:val="Standard"/>
    <w:next w:val="Textbody"/>
    <w:qFormat/>
    <w:rsid w:val="00CA5CA6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Index">
    <w:name w:val="Index"/>
    <w:basedOn w:val="Standard"/>
    <w:qFormat/>
    <w:rsid w:val="00CA5CA6"/>
    <w:pPr>
      <w:suppressLineNumbers/>
    </w:pPr>
    <w:rPr>
      <w:sz w:val="24"/>
    </w:rPr>
  </w:style>
  <w:style w:type="paragraph" w:customStyle="1" w:styleId="TableContents">
    <w:name w:val="Table Contents"/>
    <w:basedOn w:val="Standard"/>
    <w:qFormat/>
    <w:rsid w:val="00CA5CA6"/>
  </w:style>
  <w:style w:type="paragraph" w:customStyle="1" w:styleId="PreformattedText">
    <w:name w:val="Preformatted Text"/>
    <w:basedOn w:val="Standard"/>
    <w:rsid w:val="00CA5CA6"/>
  </w:style>
  <w:style w:type="paragraph" w:customStyle="1" w:styleId="TableHeading">
    <w:name w:val="Table Heading"/>
    <w:basedOn w:val="TableContents"/>
    <w:qFormat/>
    <w:rsid w:val="00CA5CA6"/>
  </w:style>
  <w:style w:type="character" w:customStyle="1" w:styleId="BulletSymbols">
    <w:name w:val="Bullet Symbols"/>
    <w:qFormat/>
    <w:rsid w:val="00CA5CA6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CA5C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1209</Words>
  <Characters>6897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2019-05-23T13:58:00Z</dcterms:created>
  <dcterms:modified xsi:type="dcterms:W3CDTF">2019-05-24T08:32:00Z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