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088" w:leader="none"/>
        </w:tabs>
        <w:spacing w:before="0" w:after="0"/>
        <w:ind w:left="4536" w:hanging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«ЗАТВЕРДЖУЮ»</w:t>
      </w:r>
    </w:p>
    <w:p>
      <w:pPr>
        <w:pStyle w:val="Normal"/>
        <w:tabs>
          <w:tab w:val="clear" w:pos="708"/>
          <w:tab w:val="left" w:pos="7088" w:leader="none"/>
        </w:tabs>
        <w:spacing w:before="0" w:after="0"/>
        <w:ind w:left="4536" w:hanging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Сільський голова</w:t>
      </w:r>
    </w:p>
    <w:p>
      <w:pPr>
        <w:pStyle w:val="Normal"/>
        <w:spacing w:before="0" w:after="0"/>
        <w:ind w:left="4536" w:hanging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____________ І.В. Лещенко</w:t>
      </w:r>
    </w:p>
    <w:p>
      <w:pPr>
        <w:pStyle w:val="Normal"/>
        <w:spacing w:before="0" w:after="0"/>
        <w:ind w:left="4536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«___» ____________  2019 року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базове відстеження результативності регуляторного акта </w:t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 Вид та назва регуляторного акту: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п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u w:val="none"/>
          <w:lang w:val="uk-UA"/>
        </w:rPr>
        <w:t>роект рішення Білоцерківської сільської ради Великобагачанського району Полтавської області «Про затвердження Регламенту роботи Центру надання адміністративних послуг Білоцерківської сільської ради».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2. Назва виконавця заходів з відстеження: </w:t>
      </w:r>
      <w:r>
        <w:rPr>
          <w:rFonts w:ascii="Times New Roman" w:hAnsi="Times New Roman"/>
          <w:sz w:val="28"/>
          <w:szCs w:val="28"/>
          <w:lang w:val="uk-UA" w:eastAsia="en-US"/>
        </w:rPr>
        <w:t>центр надання адміністративних послуг</w:t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 Цілі прийняття акту</w:t>
      </w:r>
      <w:r>
        <w:rPr>
          <w:rFonts w:ascii="Times New Roman" w:hAnsi="Times New Roman"/>
          <w:sz w:val="28"/>
          <w:szCs w:val="28"/>
          <w:lang w:val="uk-UA"/>
        </w:rPr>
        <w:t xml:space="preserve"> – це затвердження Регламенту центру надання адміністративних послуг Білоцерківської сільської ради, який чітко визначає порядок організації роботи Центру та взаємодії учасників Центру, задіяних у забезпеченні організації надання адміністративних послуг.</w:t>
      </w:r>
    </w:p>
    <w:p>
      <w:pPr>
        <w:pStyle w:val="Normal"/>
        <w:spacing w:before="0" w:after="0"/>
        <w:jc w:val="both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Строк виконання заходів з відстеження: </w:t>
      </w:r>
      <w:r>
        <w:rPr>
          <w:rFonts w:ascii="Times New Roman" w:hAnsi="Times New Roman"/>
          <w:sz w:val="28"/>
          <w:szCs w:val="28"/>
          <w:lang w:val="uk-UA"/>
        </w:rPr>
        <w:t>08.07.2019 р. - 12.07.2019 р.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 Тип відстеження:</w:t>
      </w:r>
      <w:r>
        <w:rPr>
          <w:rFonts w:ascii="Times New Roman" w:hAnsi="Times New Roman"/>
          <w:sz w:val="28"/>
          <w:szCs w:val="28"/>
          <w:lang w:val="uk-UA"/>
        </w:rPr>
        <w:t xml:space="preserve"> базове.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Методи одержання результатів відстеження: </w:t>
      </w:r>
      <w:r>
        <w:rPr>
          <w:rFonts w:ascii="Times New Roman" w:hAnsi="Times New Roman"/>
          <w:sz w:val="28"/>
          <w:szCs w:val="28"/>
          <w:lang w:val="uk-UA"/>
        </w:rPr>
        <w:t>статистичний.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 Дані та припущення, на основі яких відстежувалася результативність, а також способи одержання даних: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Враховуючи цілі регулювання для відстеження результативності регуляторного акту були визначені такі показники результативності:</w:t>
      </w:r>
    </w:p>
    <w:p>
      <w:pPr>
        <w:pStyle w:val="1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709" w:hanging="34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кількість звернень одержувачів адміністративних послуг;</w:t>
      </w:r>
    </w:p>
    <w:p>
      <w:pPr>
        <w:pStyle w:val="1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709" w:hanging="340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кількість наданих адміністративних послуг;</w:t>
      </w:r>
    </w:p>
    <w:p>
      <w:pPr>
        <w:pStyle w:val="1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709" w:hanging="340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середній термін розгляду звернення;</w:t>
      </w:r>
    </w:p>
    <w:p>
      <w:pPr>
        <w:pStyle w:val="1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709" w:hanging="340"/>
        <w:contextualSpacing/>
        <w:jc w:val="both"/>
        <w:rPr>
          <w:lang w:val="uk-UA"/>
        </w:rPr>
      </w:pPr>
      <w:r>
        <w:rPr>
          <w:rFonts w:eastAsia="Times New Roman" w:ascii="Times New Roman" w:hAnsi="Times New Roman"/>
          <w:sz w:val="28"/>
          <w:szCs w:val="28"/>
          <w:shd w:fill="FFFFFF" w:val="clear"/>
          <w:lang w:val="uk-UA" w:eastAsia="ru-RU"/>
        </w:rPr>
        <w:t xml:space="preserve">кількість скарг </w:t>
      </w:r>
      <w:bookmarkStart w:id="0" w:name="__DdeLink__13284_3328963225"/>
      <w:r>
        <w:rPr>
          <w:rFonts w:eastAsia="Times New Roman" w:ascii="Times New Roman" w:hAnsi="Times New Roman"/>
          <w:sz w:val="28"/>
          <w:szCs w:val="28"/>
          <w:shd w:fill="FFFFFF" w:val="clear"/>
          <w:lang w:val="uk-UA" w:eastAsia="ru-RU"/>
        </w:rPr>
        <w:t>одержувачів послуг з приводу порушення порядку та якості надання адміністративних послуг</w:t>
      </w:r>
      <w:bookmarkEnd w:id="0"/>
      <w:r>
        <w:rPr>
          <w:rFonts w:eastAsia="Times New Roman" w:ascii="Times New Roman" w:hAnsi="Times New Roman"/>
          <w:sz w:val="28"/>
          <w:szCs w:val="28"/>
          <w:shd w:fill="FFFFFF" w:val="clear"/>
          <w:lang w:val="uk-UA" w:eastAsia="ru-RU"/>
        </w:rPr>
        <w:t>.</w:t>
      </w:r>
    </w:p>
    <w:p>
      <w:pPr>
        <w:pStyle w:val="Normal"/>
        <w:spacing w:before="0" w:after="0"/>
        <w:jc w:val="both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 Кількісні та якісні значення показників результативності регуляторного акту:</w:t>
      </w:r>
    </w:p>
    <w:tbl>
      <w:tblPr>
        <w:tblW w:w="9712" w:type="dxa"/>
        <w:jc w:val="left"/>
        <w:tblInd w:w="0" w:type="dxa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089"/>
        <w:gridCol w:w="2222"/>
        <w:gridCol w:w="2201"/>
        <w:gridCol w:w="2199"/>
      </w:tblGrid>
      <w:tr>
        <w:trPr/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rFonts w:ascii="Times New Roman" w:hAnsi="Times New Roman"/>
                <w:b/>
                <w:b/>
                <w:i/>
                <w:i/>
                <w:color w:val="FF0000"/>
                <w:spacing w:val="1"/>
                <w:sz w:val="28"/>
                <w:szCs w:val="28"/>
                <w:highlight w:val="green"/>
              </w:rPr>
            </w:pPr>
            <w:r>
              <w:rPr>
                <w:rFonts w:eastAsia="Times New Roman" w:ascii="Times New Roman" w:hAnsi="Times New Roman"/>
                <w:b/>
                <w:i/>
                <w:color w:val="auto"/>
                <w:sz w:val="28"/>
                <w:szCs w:val="28"/>
                <w:lang w:val="uk-UA" w:eastAsia="ru-RU"/>
              </w:rPr>
              <w:t>Показники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rFonts w:ascii="Times New Roman" w:hAnsi="Times New Roman"/>
                <w:b/>
                <w:b/>
                <w:i/>
                <w:i/>
                <w:spacing w:val="1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auto"/>
                <w:spacing w:val="1"/>
                <w:sz w:val="28"/>
                <w:szCs w:val="28"/>
                <w:shd w:fill="FFFFFF" w:val="clear"/>
                <w:lang w:val="uk-UA"/>
              </w:rPr>
              <w:t>2018 рік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rFonts w:ascii="Times New Roman" w:hAnsi="Times New Roman"/>
                <w:b/>
                <w:b/>
                <w:i/>
                <w:i/>
                <w:spacing w:val="1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auto"/>
                <w:spacing w:val="1"/>
                <w:sz w:val="28"/>
                <w:szCs w:val="28"/>
                <w:shd w:fill="FFFFFF" w:val="clear"/>
                <w:lang w:val="uk-UA"/>
              </w:rPr>
              <w:t>2019 рік (заплановано)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rFonts w:ascii="Times New Roman" w:hAnsi="Times New Roman"/>
                <w:b/>
                <w:b/>
                <w:i/>
                <w:i/>
                <w:spacing w:val="1"/>
                <w:sz w:val="28"/>
                <w:szCs w:val="28"/>
                <w:highlight w:val="white"/>
                <w:lang w:val="uk-UA"/>
              </w:rPr>
            </w:pPr>
            <w:r>
              <w:rPr>
                <w:rFonts w:ascii="Times New Roman" w:hAnsi="Times New Roman"/>
                <w:b/>
                <w:i/>
                <w:color w:val="auto"/>
                <w:spacing w:val="1"/>
                <w:sz w:val="28"/>
                <w:szCs w:val="28"/>
                <w:shd w:fill="FFFFFF" w:val="clear"/>
                <w:lang w:val="uk-UA"/>
              </w:rPr>
              <w:t>2020 рік (очікуване)</w:t>
            </w:r>
          </w:p>
        </w:tc>
      </w:tr>
      <w:tr>
        <w:trPr/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1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contextualSpacing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ascii="Times New Roman" w:hAnsi="Times New Roman"/>
                <w:color w:val="auto"/>
                <w:sz w:val="28"/>
                <w:szCs w:val="28"/>
                <w:lang w:val="uk-UA" w:eastAsia="ru-RU"/>
              </w:rPr>
              <w:t>кількість звернень одержувачів адмінпослуг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/>
            </w:pPr>
            <w:bookmarkStart w:id="1" w:name="_GoBack"/>
            <w:bookmarkEnd w:id="1"/>
            <w:r>
              <w:rPr>
                <w:spacing w:val="1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eastAsia="Calibri" w:cs="Times New Roman"/>
                <w:color w:val="auto"/>
                <w:spacing w:val="1"/>
                <w:kern w:val="0"/>
                <w:sz w:val="28"/>
                <w:szCs w:val="28"/>
                <w:highlight w:val="white"/>
                <w:lang w:val="uk-UA" w:eastAsia="en-US" w:bidi="ar-SA"/>
              </w:rPr>
              <w:t>430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eastAsia="Calibri" w:cs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sz w:val="28"/>
                <w:szCs w:val="28"/>
                <w:lang w:val="uk-UA"/>
              </w:rPr>
              <w:t>386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>
        <w:trPr/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ascii="Times New Roman" w:hAnsi="Times New Roman"/>
                <w:color w:val="auto"/>
                <w:sz w:val="28"/>
                <w:szCs w:val="28"/>
                <w:shd w:fill="FFFFFF" w:val="clear"/>
                <w:lang w:val="uk-UA" w:eastAsia="ru-RU"/>
              </w:rPr>
              <w:t>кількість наданих адмінпослуг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/>
            </w:pPr>
            <w:r>
              <w:rPr>
                <w:spacing w:val="1"/>
                <w:sz w:val="28"/>
                <w:szCs w:val="28"/>
                <w:highlight w:val="white"/>
                <w:lang w:val="uk-UA"/>
              </w:rPr>
              <w:t>2</w:t>
            </w:r>
            <w:r>
              <w:rPr>
                <w:rFonts w:eastAsia="Calibri" w:cs="Times New Roman"/>
                <w:color w:val="auto"/>
                <w:spacing w:val="1"/>
                <w:kern w:val="0"/>
                <w:sz w:val="28"/>
                <w:szCs w:val="28"/>
                <w:highlight w:val="white"/>
                <w:lang w:val="uk-UA" w:eastAsia="en-US" w:bidi="ar-SA"/>
              </w:rPr>
              <w:t>430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2386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3000</w:t>
            </w:r>
          </w:p>
        </w:tc>
      </w:tr>
      <w:tr>
        <w:trPr/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eastAsia="Times New Roman" w:ascii="Times New Roman" w:hAnsi="Times New Roman"/>
                <w:color w:val="auto"/>
                <w:sz w:val="28"/>
                <w:szCs w:val="28"/>
                <w:shd w:fill="FFFFFF" w:val="clear"/>
                <w:lang w:val="uk-UA" w:eastAsia="ru-RU"/>
              </w:rPr>
              <w:t>середній термін розгляду звернення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spacing w:val="1"/>
                <w:sz w:val="28"/>
                <w:szCs w:val="28"/>
                <w:highlight w:val="white"/>
                <w:lang w:val="uk-UA"/>
              </w:rPr>
            </w:pPr>
            <w:r>
              <w:rPr>
                <w:spacing w:val="1"/>
                <w:sz w:val="28"/>
                <w:szCs w:val="28"/>
                <w:highlight w:val="white"/>
                <w:lang w:val="uk-UA"/>
              </w:rPr>
              <w:t>від 1 до 4 днів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spacing w:val="1"/>
                <w:sz w:val="28"/>
                <w:szCs w:val="28"/>
                <w:highlight w:val="white"/>
                <w:lang w:val="uk-UA"/>
              </w:rPr>
            </w:pPr>
            <w:r>
              <w:rPr>
                <w:spacing w:val="1"/>
                <w:sz w:val="28"/>
                <w:szCs w:val="28"/>
                <w:highlight w:val="white"/>
                <w:lang w:val="uk-UA"/>
              </w:rPr>
              <w:t>від 1 до 4 днів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/>
            </w:pPr>
            <w:r>
              <w:rPr>
                <w:spacing w:val="1"/>
                <w:sz w:val="28"/>
                <w:szCs w:val="28"/>
                <w:highlight w:val="white"/>
                <w:lang w:val="uk-UA"/>
              </w:rPr>
              <w:t xml:space="preserve">від 1 до </w:t>
            </w:r>
            <w:r>
              <w:rPr>
                <w:rFonts w:eastAsia="Calibri" w:cs="Times New Roman"/>
                <w:color w:val="auto"/>
                <w:spacing w:val="1"/>
                <w:kern w:val="0"/>
                <w:sz w:val="28"/>
                <w:szCs w:val="28"/>
                <w:highlight w:val="white"/>
                <w:lang w:val="uk-UA" w:eastAsia="en-US" w:bidi="ar-SA"/>
              </w:rPr>
              <w:t xml:space="preserve">3 </w:t>
            </w:r>
            <w:r>
              <w:rPr>
                <w:spacing w:val="1"/>
                <w:sz w:val="28"/>
                <w:szCs w:val="28"/>
                <w:highlight w:val="white"/>
                <w:lang w:val="uk-UA"/>
              </w:rPr>
              <w:t>днів</w:t>
            </w:r>
          </w:p>
        </w:tc>
      </w:tr>
      <w:tr>
        <w:trPr/>
        <w:tc>
          <w:tcPr>
            <w:tcW w:w="30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before="0" w:after="0"/>
              <w:ind w:right="23" w:hanging="0"/>
              <w:jc w:val="left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кількість скарг </w:t>
            </w:r>
            <w:r>
              <w:rPr>
                <w:rFonts w:eastAsia="Times New Roman" w:ascii="Times New Roman" w:hAnsi="Times New Roman"/>
                <w:color w:val="auto"/>
                <w:sz w:val="28"/>
                <w:szCs w:val="28"/>
                <w:shd w:fill="FFFFFF" w:val="clear"/>
                <w:lang w:val="uk-UA" w:eastAsia="ru-RU"/>
              </w:rPr>
              <w:t>одержувачів послуг з приводу порушення порядку та якості надання адміністративних послуг</w:t>
            </w:r>
          </w:p>
        </w:tc>
        <w:tc>
          <w:tcPr>
            <w:tcW w:w="222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ind w:right="23" w:hanging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  <w:tc>
          <w:tcPr>
            <w:tcW w:w="2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  <w:highlight w:val="green"/>
          <w:lang w:val="uk-UA"/>
        </w:rPr>
      </w:pPr>
      <w:r>
        <w:rPr>
          <w:rFonts w:ascii="Times New Roman" w:hAnsi="Times New Roman"/>
          <w:sz w:val="28"/>
          <w:szCs w:val="28"/>
          <w:highlight w:val="green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Керівник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Центру надання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b/>
          <w:sz w:val="28"/>
          <w:szCs w:val="28"/>
          <w:lang w:val="uk-UA" w:eastAsia="en-US"/>
        </w:rPr>
        <w:t>адміністративних послуг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</w:t>
        <w:tab/>
        <w:tab/>
        <w:tab/>
        <w:tab/>
      </w:r>
      <w:r>
        <w:rPr>
          <w:rFonts w:ascii="Times New Roman" w:hAnsi="Times New Roman"/>
          <w:b/>
          <w:sz w:val="28"/>
          <w:szCs w:val="28"/>
          <w:lang w:val="uk-UA" w:eastAsia="en-US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М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 w:eastAsia="en-US"/>
        </w:rPr>
        <w:t>Мошківська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560" w:right="850" w:header="0" w:top="426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13f4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3">
    <w:name w:val="Heading 3"/>
    <w:basedOn w:val="Style15"/>
    <w:next w:val="Style16"/>
    <w:qFormat/>
    <w:pPr>
      <w:numPr>
        <w:ilvl w:val="2"/>
        <w:numId w:val="1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4a0529"/>
    <w:pPr>
      <w:spacing w:before="0" w:after="200"/>
      <w:ind w:left="720" w:hanging="0"/>
      <w:contextualSpacing/>
    </w:pPr>
    <w:rPr/>
  </w:style>
  <w:style w:type="paragraph" w:styleId="1">
    <w:name w:val="Абзац списку1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944b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LibreOffice/6.3.4.2$Windows_X86_64 LibreOffice_project/60da17e045e08f1793c57c00ba83cdfce946d0aa</Application>
  <Pages>2</Pages>
  <Words>236</Words>
  <Characters>1650</Characters>
  <CharactersWithSpaces>2163</CharactersWithSpaces>
  <Paragraphs>42</Paragraphs>
  <Company>Bilotg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2020-01-16T13:53:00Z</dcterms:created>
  <dc:creator>User</dc:creator>
  <dc:description/>
  <dc:language>uk-UA</dc:language>
  <cp:lastModifiedBy/>
  <cp:lastPrinted>2020-01-20T14:10:54Z</cp:lastPrinted>
  <dcterms:modified xsi:type="dcterms:W3CDTF">2020-01-20T15:05:54Z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Bilotg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