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АНАЛІЗ РЕГУЛЯТОРНОГО ВПЛИВУ</w:t>
      </w:r>
    </w:p>
    <w:p w:rsidR="00A342B7" w:rsidRDefault="00CE623E">
      <w:pPr>
        <w:pStyle w:val="Textbody"/>
        <w:spacing w:after="0" w:line="240" w:lineRule="auto"/>
        <w:ind w:left="142" w:right="281"/>
        <w:jc w:val="center"/>
        <w:rPr>
          <w:rFonts w:ascii="Times New Roman" w:hAnsi="Times New Roman"/>
          <w:b/>
          <w:bCs/>
          <w:color w:val="auto"/>
          <w:sz w:val="28"/>
          <w:szCs w:val="28"/>
          <w:lang w:val="uk-UA"/>
        </w:rPr>
      </w:pPr>
      <w:r>
        <w:rPr>
          <w:rFonts w:ascii="Times New Roman" w:hAnsi="Times New Roman"/>
          <w:b/>
          <w:bCs/>
          <w:color w:val="auto"/>
          <w:sz w:val="28"/>
          <w:szCs w:val="28"/>
          <w:lang w:val="uk-UA"/>
        </w:rPr>
        <w:t>проекту рішення "Про встановлення податку на нерухоме майно, відмінне від земельної ділянки, на території Білоцерківської сільської ради на 2021 рік"</w:t>
      </w:r>
    </w:p>
    <w:p w:rsidR="00A342B7" w:rsidRDefault="00A342B7">
      <w:pPr>
        <w:pStyle w:val="Textbody"/>
        <w:spacing w:after="0" w:line="240" w:lineRule="auto"/>
        <w:ind w:left="142" w:right="281"/>
        <w:jc w:val="center"/>
        <w:rPr>
          <w:rFonts w:ascii="Times New Roman" w:hAnsi="Times New Roman"/>
          <w:b/>
          <w:bCs/>
          <w:color w:val="auto"/>
          <w:sz w:val="28"/>
          <w:szCs w:val="28"/>
          <w:lang w:val="uk-UA"/>
        </w:rPr>
      </w:pPr>
    </w:p>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І. Визначення проблеми</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b/>
          <w:bCs/>
          <w:color w:val="auto"/>
          <w:sz w:val="28"/>
          <w:szCs w:val="28"/>
          <w:lang w:val="uk-UA"/>
        </w:rPr>
        <w:t>Проблема</w:t>
      </w:r>
      <w:r>
        <w:rPr>
          <w:rFonts w:ascii="Times New Roman" w:hAnsi="Times New Roman"/>
          <w:b/>
          <w:bCs/>
          <w:sz w:val="28"/>
          <w:szCs w:val="28"/>
          <w:shd w:val="clear" w:color="auto" w:fill="FFFFFF"/>
          <w:lang w:val="uk-UA"/>
        </w:rPr>
        <w:t xml:space="preserve">, яку передбачається розв'язати шляхом </w:t>
      </w:r>
      <w:r>
        <w:rPr>
          <w:rFonts w:ascii="Times New Roman" w:hAnsi="Times New Roman"/>
          <w:b/>
          <w:bCs/>
          <w:sz w:val="28"/>
          <w:szCs w:val="28"/>
          <w:shd w:val="clear" w:color="auto" w:fill="FFFFFF"/>
          <w:lang w:val="uk-UA"/>
        </w:rPr>
        <w:t>державного регулювання:</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Законом України «Про місцеве самоврядування в Україні» та Податковим кодексом України повноваження щодо встановлення місцевих податків і зборів покладено на органи місцевого самоврядування.</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Відповідно до підпункту 12.3.4. пункту 12.</w:t>
      </w:r>
      <w:r>
        <w:rPr>
          <w:rFonts w:ascii="Times New Roman" w:hAnsi="Times New Roman"/>
          <w:color w:val="auto"/>
          <w:sz w:val="28"/>
          <w:szCs w:val="28"/>
          <w:lang w:val="uk-UA"/>
        </w:rPr>
        <w:t>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w:t>
      </w:r>
      <w:r>
        <w:rPr>
          <w:rFonts w:ascii="Times New Roman" w:hAnsi="Times New Roman"/>
          <w:color w:val="auto"/>
          <w:sz w:val="28"/>
          <w:szCs w:val="28"/>
          <w:lang w:val="uk-UA"/>
        </w:rPr>
        <w:t>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Враховуючи положення Податкового кодексу України та Закону України “Про </w:t>
      </w:r>
      <w:r>
        <w:rPr>
          <w:rFonts w:ascii="Times New Roman" w:hAnsi="Times New Roman"/>
          <w:color w:val="auto"/>
          <w:sz w:val="28"/>
          <w:szCs w:val="28"/>
          <w:lang w:val="uk-UA"/>
        </w:rPr>
        <w:t>місцеве самоврядування”, з метою безумовного виконання законодавства виникає необхідність встановлення на території Білоцерківської сільської ради податку на нерухоме майно, відмінне від земельної ділянки на 2021 рік.</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b/>
          <w:color w:val="auto"/>
          <w:sz w:val="28"/>
          <w:szCs w:val="28"/>
          <w:lang w:val="uk-UA"/>
        </w:rPr>
        <w:t>Проблема, яку пропонується розв'язати:</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забезпечення додаткових надходжень до бюджету Білоцерківської сільської ради шляхом врегулювання справляння податку на нерухоме майно, відмінне від земельної ділянки на території сільської ради відповідно до Податкового кодексу України, визначення на зако</w:t>
      </w:r>
      <w:r>
        <w:rPr>
          <w:rFonts w:ascii="Times New Roman" w:hAnsi="Times New Roman"/>
          <w:color w:val="auto"/>
          <w:sz w:val="28"/>
          <w:szCs w:val="28"/>
          <w:lang w:val="uk-UA"/>
        </w:rPr>
        <w:t>нних підставах розміру ставок відповідного податку.</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Пропонується на 2021 рік залишити ставки податку на нерухоме майно, відмінне від земельної ділянки на рівні поточного року.</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b/>
          <w:bCs/>
          <w:color w:val="auto"/>
          <w:sz w:val="28"/>
          <w:szCs w:val="28"/>
          <w:lang w:val="uk-UA"/>
        </w:rPr>
        <w:t>Причини виникнення проблеми:</w:t>
      </w:r>
    </w:p>
    <w:p w:rsidR="00A342B7" w:rsidRDefault="00CE623E">
      <w:pPr>
        <w:pStyle w:val="Textbody"/>
        <w:numPr>
          <w:ilvl w:val="0"/>
          <w:numId w:val="4"/>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У разі неприйняття рішення про встановлення податку</w:t>
      </w:r>
      <w:r>
        <w:rPr>
          <w:rFonts w:ascii="Times New Roman" w:hAnsi="Times New Roman"/>
          <w:color w:val="auto"/>
          <w:sz w:val="28"/>
          <w:szCs w:val="28"/>
          <w:lang w:val="uk-UA"/>
        </w:rPr>
        <w:t xml:space="preserve"> на нерухоме майно, відмінне від земельної ділянки на 2021 рік, податки справлятимуться по мінімальним ставкам, що спричинить зменшення дохідної частини бюджету сільської ради на очікувану суму </w:t>
      </w:r>
      <w:r>
        <w:rPr>
          <w:rFonts w:ascii="Times New Roman" w:hAnsi="Times New Roman"/>
          <w:sz w:val="28"/>
          <w:szCs w:val="28"/>
          <w:shd w:val="clear" w:color="auto" w:fill="FFFFFF"/>
          <w:lang w:val="uk-UA"/>
        </w:rPr>
        <w:t>604,013</w:t>
      </w:r>
      <w:r>
        <w:rPr>
          <w:rFonts w:ascii="Times New Roman" w:hAnsi="Times New Roman"/>
          <w:color w:val="auto"/>
          <w:sz w:val="28"/>
          <w:szCs w:val="28"/>
          <w:lang w:val="uk-UA"/>
        </w:rPr>
        <w:t xml:space="preserve"> тис. грн.</w:t>
      </w:r>
    </w:p>
    <w:p w:rsidR="00A342B7" w:rsidRDefault="00CE623E">
      <w:pPr>
        <w:pStyle w:val="Textbody"/>
        <w:numPr>
          <w:ilvl w:val="0"/>
          <w:numId w:val="4"/>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 xml:space="preserve">Зменшення дохідної частини поставить під </w:t>
      </w:r>
      <w:r>
        <w:rPr>
          <w:rFonts w:ascii="Times New Roman" w:hAnsi="Times New Roman"/>
          <w:color w:val="auto"/>
          <w:sz w:val="28"/>
          <w:szCs w:val="28"/>
          <w:lang w:val="uk-UA"/>
        </w:rPr>
        <w:t>загрозу фінансування соціальних програм громади.</w:t>
      </w:r>
    </w:p>
    <w:p w:rsidR="00A342B7" w:rsidRDefault="00CE623E">
      <w:pPr>
        <w:pStyle w:val="Textbody"/>
        <w:numPr>
          <w:ilvl w:val="0"/>
          <w:numId w:val="4"/>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 xml:space="preserve">Враховуючи положення Податкового кодексу України та Закону України “Про місцеве </w:t>
      </w:r>
      <w:proofErr w:type="spellStart"/>
      <w:r>
        <w:rPr>
          <w:rFonts w:ascii="Times New Roman" w:hAnsi="Times New Roman"/>
          <w:color w:val="auto"/>
          <w:sz w:val="28"/>
          <w:szCs w:val="28"/>
          <w:lang w:val="uk-UA"/>
        </w:rPr>
        <w:t>сомоврядування</w:t>
      </w:r>
      <w:proofErr w:type="spellEnd"/>
      <w:r>
        <w:rPr>
          <w:rFonts w:ascii="Times New Roman" w:hAnsi="Times New Roman"/>
          <w:color w:val="auto"/>
          <w:sz w:val="28"/>
          <w:szCs w:val="28"/>
          <w:lang w:val="uk-UA"/>
        </w:rPr>
        <w:t>”, органи місцевого самоврядування мають щорічно (до 15 липня кожного року) затверджувати рішення про встановленн</w:t>
      </w:r>
      <w:r>
        <w:rPr>
          <w:rFonts w:ascii="Times New Roman" w:hAnsi="Times New Roman"/>
          <w:color w:val="auto"/>
          <w:sz w:val="28"/>
          <w:szCs w:val="28"/>
          <w:lang w:val="uk-UA"/>
        </w:rPr>
        <w:t>я ставок на нерухому майно, відмінне від земельної ділянки, які будуть діяти лише протягом року, на який прийняті.</w:t>
      </w:r>
    </w:p>
    <w:p w:rsidR="00A342B7" w:rsidRDefault="00CE623E">
      <w:pPr>
        <w:pStyle w:val="Textbody"/>
        <w:spacing w:after="0" w:line="240" w:lineRule="auto"/>
        <w:ind w:firstLine="709"/>
        <w:rPr>
          <w:rFonts w:ascii="Times New Roman" w:hAnsi="Times New Roman"/>
          <w:b/>
          <w:bCs/>
          <w:color w:val="auto"/>
          <w:sz w:val="28"/>
          <w:szCs w:val="28"/>
          <w:lang w:val="uk-UA"/>
        </w:rPr>
      </w:pPr>
      <w:r>
        <w:rPr>
          <w:rFonts w:ascii="Times New Roman" w:hAnsi="Times New Roman"/>
          <w:b/>
          <w:bCs/>
          <w:color w:val="auto"/>
          <w:sz w:val="28"/>
          <w:szCs w:val="28"/>
          <w:lang w:val="uk-UA"/>
        </w:rPr>
        <w:t>Підтвердження важливості проблеми:</w:t>
      </w:r>
    </w:p>
    <w:p w:rsidR="00A342B7" w:rsidRPr="00CE623E" w:rsidRDefault="00CE623E">
      <w:pPr>
        <w:pStyle w:val="Textbody"/>
        <w:spacing w:after="0" w:line="240" w:lineRule="auto"/>
        <w:ind w:firstLine="709"/>
        <w:jc w:val="both"/>
        <w:rPr>
          <w:rFonts w:ascii="Times New Roman" w:hAnsi="Times New Roman"/>
          <w:sz w:val="28"/>
          <w:szCs w:val="28"/>
          <w:lang w:val="uk-UA"/>
        </w:rPr>
      </w:pPr>
      <w:r>
        <w:rPr>
          <w:rFonts w:ascii="Times New Roman" w:hAnsi="Times New Roman"/>
          <w:color w:val="auto"/>
          <w:sz w:val="28"/>
          <w:szCs w:val="28"/>
          <w:lang w:val="uk-UA"/>
        </w:rPr>
        <w:t>Важливість проблеми при затвердженні місцевих податків і зборів полягає в необхідності безумовного виконан</w:t>
      </w:r>
      <w:r>
        <w:rPr>
          <w:rFonts w:ascii="Times New Roman" w:hAnsi="Times New Roman"/>
          <w:color w:val="auto"/>
          <w:sz w:val="28"/>
          <w:szCs w:val="28"/>
          <w:lang w:val="uk-UA"/>
        </w:rPr>
        <w:t xml:space="preserve">ня вимог Податкового кодексу </w:t>
      </w:r>
      <w:r>
        <w:rPr>
          <w:rFonts w:ascii="Times New Roman" w:hAnsi="Times New Roman"/>
          <w:color w:val="auto"/>
          <w:sz w:val="28"/>
          <w:szCs w:val="28"/>
          <w:lang w:val="uk-UA"/>
        </w:rPr>
        <w:lastRenderedPageBreak/>
        <w:t xml:space="preserve">України, з метою вирішення проблеми щодо врегулювання питань справляння місцевих податків і зборів в межах Білоцерківської сільської ради, а також в необхідності наповнення місцевого бюджету та спрямування отриманих коштів від </w:t>
      </w:r>
      <w:r>
        <w:rPr>
          <w:rFonts w:ascii="Times New Roman" w:hAnsi="Times New Roman"/>
          <w:color w:val="auto"/>
          <w:sz w:val="28"/>
          <w:szCs w:val="28"/>
          <w:lang w:val="uk-UA"/>
        </w:rPr>
        <w:t>сплати податків на вирішення соціальних проблем та покращення інфраструктури громади.</w:t>
      </w:r>
    </w:p>
    <w:p w:rsidR="00A342B7" w:rsidRPr="00CE623E" w:rsidRDefault="00CE623E">
      <w:pPr>
        <w:spacing w:line="240" w:lineRule="auto"/>
        <w:ind w:firstLine="709"/>
        <w:jc w:val="both"/>
        <w:rPr>
          <w:rFonts w:ascii="Times New Roman" w:hAnsi="Times New Roman"/>
          <w:sz w:val="28"/>
          <w:szCs w:val="28"/>
          <w:lang w:val="uk-UA"/>
        </w:rPr>
      </w:pPr>
      <w:r>
        <w:rPr>
          <w:rFonts w:ascii="Times New Roman" w:hAnsi="Times New Roman"/>
          <w:color w:val="auto"/>
          <w:sz w:val="28"/>
          <w:szCs w:val="28"/>
          <w:lang w:val="uk-UA"/>
        </w:rPr>
        <w:t>Для забезпечення вказаних проблем пропонується прийняття рішення Білоцерківської сільської ради "</w:t>
      </w:r>
      <w:r>
        <w:rPr>
          <w:rFonts w:ascii="Times New Roman" w:hAnsi="Times New Roman"/>
          <w:color w:val="auto"/>
          <w:sz w:val="28"/>
          <w:szCs w:val="28"/>
          <w:lang w:val="uk-UA"/>
        </w:rPr>
        <w:t>Про встановлення податку на нерухоме майно, відмінне від земельної ділянк</w:t>
      </w:r>
      <w:r>
        <w:rPr>
          <w:rFonts w:ascii="Times New Roman" w:hAnsi="Times New Roman"/>
          <w:color w:val="auto"/>
          <w:sz w:val="28"/>
          <w:szCs w:val="28"/>
          <w:lang w:val="uk-UA"/>
        </w:rPr>
        <w:t>и, на території Білоцерківської сільської ради на 2021 рік</w:t>
      </w:r>
      <w:r>
        <w:rPr>
          <w:rFonts w:ascii="Times New Roman" w:hAnsi="Times New Roman"/>
          <w:color w:val="auto"/>
          <w:sz w:val="28"/>
          <w:szCs w:val="28"/>
          <w:lang w:val="uk-UA"/>
        </w:rPr>
        <w:t>".</w:t>
      </w:r>
    </w:p>
    <w:p w:rsidR="00A342B7" w:rsidRDefault="00CE623E">
      <w:pPr>
        <w:spacing w:line="240" w:lineRule="auto"/>
        <w:ind w:firstLine="709"/>
        <w:jc w:val="both"/>
        <w:rPr>
          <w:rFonts w:ascii="Times New Roman" w:hAnsi="Times New Roman"/>
          <w:sz w:val="28"/>
          <w:szCs w:val="28"/>
          <w:lang w:val="ru-RU"/>
        </w:rPr>
      </w:pPr>
      <w:r>
        <w:rPr>
          <w:rFonts w:ascii="Times New Roman" w:hAnsi="Times New Roman"/>
          <w:color w:val="auto"/>
          <w:sz w:val="28"/>
          <w:szCs w:val="28"/>
          <w:lang w:val="uk-UA"/>
        </w:rPr>
        <w:t>За даними відділу фінансового забезпечення та економічного розвитку виконавчого комітету Білоцерківської сільської ради про виконання доходної частини бюджету, платники податку на нерухоме майно,</w:t>
      </w:r>
      <w:r>
        <w:rPr>
          <w:rFonts w:ascii="Times New Roman" w:hAnsi="Times New Roman"/>
          <w:color w:val="auto"/>
          <w:sz w:val="28"/>
          <w:szCs w:val="28"/>
          <w:lang w:val="uk-UA"/>
        </w:rPr>
        <w:t xml:space="preserve"> відмінне від земельної ділянки, для яких ставки регулюються за рішенням сільської ради, сплатити до місцевого бюджету у 2019 році </w:t>
      </w:r>
      <w:r>
        <w:rPr>
          <w:rFonts w:ascii="Times New Roman" w:hAnsi="Times New Roman"/>
          <w:color w:val="auto"/>
          <w:sz w:val="28"/>
          <w:szCs w:val="28"/>
          <w:lang w:val="uk-UA"/>
        </w:rPr>
        <w:t>251</w:t>
      </w:r>
      <w:r w:rsidRPr="00CE623E">
        <w:rPr>
          <w:rFonts w:ascii="Times New Roman" w:hAnsi="Times New Roman"/>
          <w:color w:val="auto"/>
          <w:sz w:val="28"/>
          <w:szCs w:val="28"/>
          <w:lang w:val="uk-UA"/>
        </w:rPr>
        <w:t>843,19</w:t>
      </w:r>
      <w:r>
        <w:rPr>
          <w:rFonts w:ascii="Times New Roman" w:hAnsi="Times New Roman"/>
          <w:color w:val="auto"/>
          <w:sz w:val="28"/>
          <w:szCs w:val="28"/>
          <w:lang w:val="uk-UA"/>
        </w:rPr>
        <w:t xml:space="preserve"> тис. грн., кількість платників суб’єктів господарювання – 1</w:t>
      </w:r>
      <w:r>
        <w:rPr>
          <w:rFonts w:ascii="Times New Roman" w:hAnsi="Times New Roman"/>
          <w:color w:val="auto"/>
          <w:sz w:val="28"/>
          <w:szCs w:val="28"/>
          <w:lang w:val="uk-UA"/>
        </w:rPr>
        <w:t>4</w:t>
      </w:r>
      <w:r>
        <w:rPr>
          <w:rFonts w:ascii="Times New Roman" w:hAnsi="Times New Roman"/>
          <w:color w:val="auto"/>
          <w:sz w:val="28"/>
          <w:szCs w:val="28"/>
          <w:lang w:val="uk-UA"/>
        </w:rPr>
        <w:t xml:space="preserve">, з яких 11 – юридичних осіб, 2 – ФОП та 1 фізична </w:t>
      </w:r>
      <w:r>
        <w:rPr>
          <w:rFonts w:ascii="Times New Roman" w:hAnsi="Times New Roman"/>
          <w:color w:val="auto"/>
          <w:sz w:val="28"/>
          <w:szCs w:val="28"/>
          <w:lang w:val="uk-UA"/>
        </w:rPr>
        <w:t xml:space="preserve">особа. Очікувані показники сплати податку на нерухоме майно, відмінне від земельної ділянки на 2021 рік становлять </w:t>
      </w:r>
      <w:r>
        <w:rPr>
          <w:rFonts w:ascii="Times New Roman" w:hAnsi="Times New Roman"/>
          <w:sz w:val="28"/>
          <w:szCs w:val="28"/>
          <w:shd w:val="clear" w:color="auto" w:fill="FFFFFF"/>
          <w:lang w:val="uk-UA"/>
        </w:rPr>
        <w:t>604,013</w:t>
      </w:r>
      <w:r>
        <w:rPr>
          <w:rFonts w:ascii="Times New Roman" w:hAnsi="Times New Roman"/>
          <w:color w:val="auto"/>
          <w:sz w:val="28"/>
          <w:szCs w:val="28"/>
          <w:lang w:val="uk-UA"/>
        </w:rPr>
        <w:t xml:space="preserve"> тис. грн.</w:t>
      </w:r>
    </w:p>
    <w:p w:rsidR="00A342B7" w:rsidRDefault="00A342B7">
      <w:pPr>
        <w:pStyle w:val="Textbody"/>
        <w:spacing w:after="0" w:line="240" w:lineRule="auto"/>
        <w:ind w:firstLine="709"/>
        <w:jc w:val="both"/>
        <w:rPr>
          <w:rFonts w:ascii="Times New Roman" w:hAnsi="Times New Roman"/>
          <w:sz w:val="28"/>
          <w:szCs w:val="28"/>
          <w:lang w:val="ru-RU"/>
        </w:rPr>
      </w:pPr>
    </w:p>
    <w:p w:rsidR="00A342B7" w:rsidRDefault="00CE623E">
      <w:pPr>
        <w:pStyle w:val="Textbody"/>
        <w:spacing w:after="0" w:line="240" w:lineRule="auto"/>
        <w:ind w:firstLine="709"/>
        <w:rPr>
          <w:rFonts w:ascii="Times New Roman" w:hAnsi="Times New Roman"/>
          <w:b/>
          <w:bCs/>
          <w:color w:val="auto"/>
          <w:sz w:val="28"/>
          <w:szCs w:val="28"/>
          <w:lang w:val="uk-UA"/>
        </w:rPr>
      </w:pPr>
      <w:r>
        <w:rPr>
          <w:rFonts w:ascii="Times New Roman" w:hAnsi="Times New Roman"/>
          <w:b/>
          <w:bCs/>
          <w:color w:val="auto"/>
          <w:sz w:val="28"/>
          <w:szCs w:val="28"/>
          <w:lang w:val="uk-UA"/>
        </w:rPr>
        <w:t>Показники існування та масштабу проблеми</w:t>
      </w:r>
    </w:p>
    <w:tbl>
      <w:tblPr>
        <w:tblW w:w="9627" w:type="dxa"/>
        <w:tblInd w:w="57" w:type="dxa"/>
        <w:tblCellMar>
          <w:top w:w="57" w:type="dxa"/>
          <w:left w:w="57" w:type="dxa"/>
          <w:bottom w:w="57" w:type="dxa"/>
          <w:right w:w="57" w:type="dxa"/>
        </w:tblCellMar>
        <w:tblLook w:val="0000" w:firstRow="0" w:lastRow="0" w:firstColumn="0" w:lastColumn="0" w:noHBand="0" w:noVBand="0"/>
      </w:tblPr>
      <w:tblGrid>
        <w:gridCol w:w="1833"/>
        <w:gridCol w:w="1272"/>
        <w:gridCol w:w="1808"/>
        <w:gridCol w:w="1270"/>
        <w:gridCol w:w="1715"/>
        <w:gridCol w:w="1729"/>
      </w:tblGrid>
      <w:tr w:rsidR="00A342B7" w:rsidRPr="00CE623E">
        <w:tc>
          <w:tcPr>
            <w:tcW w:w="1832" w:type="dxa"/>
            <w:vMerge w:val="restart"/>
            <w:tcBorders>
              <w:top w:val="single" w:sz="4" w:space="0" w:color="000000"/>
              <w:left w:val="single" w:sz="4"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Назва показника</w:t>
            </w:r>
          </w:p>
        </w:tc>
        <w:tc>
          <w:tcPr>
            <w:tcW w:w="3080" w:type="dxa"/>
            <w:gridSpan w:val="2"/>
            <w:tcBorders>
              <w:top w:val="single" w:sz="4" w:space="0" w:color="000000"/>
              <w:left w:val="single" w:sz="4" w:space="0" w:color="000000"/>
              <w:bottom w:val="single" w:sz="4"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 xml:space="preserve">У разі прийняття регуляторного </w:t>
            </w:r>
            <w:proofErr w:type="spellStart"/>
            <w:r>
              <w:rPr>
                <w:rFonts w:ascii="Times New Roman" w:hAnsi="Times New Roman"/>
                <w:b/>
                <w:bCs/>
                <w:color w:val="auto"/>
                <w:sz w:val="24"/>
                <w:szCs w:val="24"/>
                <w:lang w:val="uk-UA"/>
              </w:rPr>
              <w:t>акта</w:t>
            </w:r>
            <w:proofErr w:type="spellEnd"/>
          </w:p>
        </w:tc>
        <w:tc>
          <w:tcPr>
            <w:tcW w:w="2985" w:type="dxa"/>
            <w:gridSpan w:val="2"/>
            <w:tcBorders>
              <w:top w:val="single" w:sz="4" w:space="0" w:color="000000"/>
              <w:left w:val="single" w:sz="4" w:space="0" w:color="000000"/>
              <w:bottom w:val="single" w:sz="4" w:space="0" w:color="000000"/>
              <w:right w:val="single" w:sz="4"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 xml:space="preserve">У разі не прийняття </w:t>
            </w:r>
            <w:r>
              <w:rPr>
                <w:rFonts w:ascii="Times New Roman" w:hAnsi="Times New Roman"/>
                <w:b/>
                <w:bCs/>
                <w:color w:val="auto"/>
                <w:sz w:val="24"/>
                <w:szCs w:val="24"/>
                <w:lang w:val="uk-UA"/>
              </w:rPr>
              <w:t xml:space="preserve">регуляторного </w:t>
            </w:r>
            <w:proofErr w:type="spellStart"/>
            <w:r>
              <w:rPr>
                <w:rFonts w:ascii="Times New Roman" w:hAnsi="Times New Roman"/>
                <w:b/>
                <w:bCs/>
                <w:color w:val="auto"/>
                <w:sz w:val="24"/>
                <w:szCs w:val="24"/>
                <w:lang w:val="uk-UA"/>
              </w:rPr>
              <w:t>акта</w:t>
            </w:r>
            <w:proofErr w:type="spellEnd"/>
          </w:p>
        </w:tc>
        <w:tc>
          <w:tcPr>
            <w:tcW w:w="1729" w:type="dxa"/>
            <w:vMerge w:val="restart"/>
            <w:tcBorders>
              <w:top w:val="single" w:sz="4" w:space="0" w:color="000000"/>
              <w:left w:val="single" w:sz="4" w:space="0" w:color="000000"/>
              <w:right w:val="single" w:sz="4" w:space="0" w:color="000000"/>
            </w:tcBorders>
            <w:tcMar>
              <w:top w:w="0" w:type="dxa"/>
              <w:left w:w="10" w:type="dxa"/>
              <w:bottom w:w="0" w:type="dxa"/>
              <w:right w:w="10" w:type="dxa"/>
            </w:tcMa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Відхилення, (втрати до бюджету) тис. грн.</w:t>
            </w:r>
          </w:p>
        </w:tc>
      </w:tr>
      <w:tr w:rsidR="00A342B7" w:rsidRPr="00CE623E">
        <w:tc>
          <w:tcPr>
            <w:tcW w:w="1832" w:type="dxa"/>
            <w:vMerge/>
            <w:tcBorders>
              <w:left w:val="single" w:sz="4" w:space="0" w:color="000000"/>
              <w:bottom w:val="single" w:sz="4" w:space="0" w:color="000000"/>
            </w:tcBorders>
            <w:vAlign w:val="center"/>
          </w:tcPr>
          <w:p w:rsidR="00A342B7" w:rsidRDefault="00A342B7">
            <w:pPr>
              <w:pStyle w:val="Standard"/>
              <w:spacing w:line="240" w:lineRule="auto"/>
              <w:jc w:val="center"/>
              <w:rPr>
                <w:rFonts w:ascii="Times New Roman" w:hAnsi="Times New Roman"/>
                <w:b/>
                <w:bCs/>
                <w:color w:val="auto"/>
                <w:sz w:val="24"/>
                <w:szCs w:val="24"/>
                <w:lang w:val="uk-UA"/>
              </w:rPr>
            </w:pPr>
          </w:p>
        </w:tc>
        <w:tc>
          <w:tcPr>
            <w:tcW w:w="1272" w:type="dxa"/>
            <w:tcBorders>
              <w:top w:val="single" w:sz="4" w:space="0" w:color="000000"/>
              <w:left w:val="single" w:sz="4" w:space="0" w:color="000000"/>
              <w:bottom w:val="single" w:sz="4"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Ставка, %</w:t>
            </w:r>
          </w:p>
        </w:tc>
        <w:tc>
          <w:tcPr>
            <w:tcW w:w="1808" w:type="dxa"/>
            <w:tcBorders>
              <w:top w:val="single" w:sz="4" w:space="0" w:color="000000"/>
              <w:left w:val="single" w:sz="4" w:space="0" w:color="000000"/>
              <w:bottom w:val="single" w:sz="4"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Очікуваний обсяг надходжень, тис. грн.</w:t>
            </w:r>
          </w:p>
        </w:tc>
        <w:tc>
          <w:tcPr>
            <w:tcW w:w="1270" w:type="dxa"/>
            <w:tcBorders>
              <w:top w:val="single" w:sz="4" w:space="0" w:color="000000"/>
              <w:left w:val="single" w:sz="4" w:space="0" w:color="000000"/>
              <w:bottom w:val="single" w:sz="4" w:space="0" w:color="000000"/>
              <w:right w:val="single" w:sz="4"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Ставка, %</w:t>
            </w:r>
          </w:p>
        </w:tc>
        <w:tc>
          <w:tcPr>
            <w:tcW w:w="17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Очікуваний обсяг надходжень, тис. грн.</w:t>
            </w:r>
          </w:p>
        </w:tc>
        <w:tc>
          <w:tcPr>
            <w:tcW w:w="1729" w:type="dxa"/>
            <w:vMerge/>
            <w:tcBorders>
              <w:left w:val="single" w:sz="4" w:space="0" w:color="000000"/>
              <w:bottom w:val="single" w:sz="4" w:space="0" w:color="000000"/>
              <w:right w:val="single" w:sz="4" w:space="0" w:color="000000"/>
            </w:tcBorders>
            <w:tcMar>
              <w:top w:w="0" w:type="dxa"/>
              <w:left w:w="10" w:type="dxa"/>
              <w:bottom w:w="0" w:type="dxa"/>
              <w:right w:w="10" w:type="dxa"/>
            </w:tcMar>
          </w:tcPr>
          <w:p w:rsidR="00A342B7" w:rsidRDefault="00A342B7">
            <w:pPr>
              <w:pStyle w:val="Standard"/>
              <w:spacing w:line="240" w:lineRule="auto"/>
              <w:jc w:val="center"/>
              <w:rPr>
                <w:rFonts w:ascii="Times New Roman" w:hAnsi="Times New Roman"/>
                <w:b/>
                <w:bCs/>
                <w:color w:val="auto"/>
                <w:sz w:val="24"/>
                <w:szCs w:val="24"/>
                <w:lang w:val="uk-UA"/>
              </w:rPr>
            </w:pPr>
          </w:p>
        </w:tc>
      </w:tr>
      <w:tr w:rsidR="00A342B7">
        <w:tc>
          <w:tcPr>
            <w:tcW w:w="1832" w:type="dxa"/>
            <w:tcBorders>
              <w:top w:val="single" w:sz="4" w:space="0" w:color="000000"/>
              <w:left w:val="single" w:sz="4" w:space="0" w:color="000000"/>
              <w:bottom w:val="single" w:sz="4" w:space="0" w:color="000000"/>
              <w:right w:val="single" w:sz="4" w:space="0" w:color="000000"/>
            </w:tcBorders>
            <w:vAlign w:val="center"/>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Юридичні особи – власники об'єктів нерухомості</w:t>
            </w:r>
          </w:p>
        </w:tc>
        <w:tc>
          <w:tcPr>
            <w:tcW w:w="1272" w:type="dxa"/>
            <w:tcBorders>
              <w:top w:val="single" w:sz="4" w:space="0" w:color="000000"/>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0,</w:t>
            </w:r>
            <w:r>
              <w:rPr>
                <w:rFonts w:ascii="Times New Roman" w:hAnsi="Times New Roman"/>
                <w:color w:val="auto"/>
                <w:sz w:val="24"/>
                <w:szCs w:val="24"/>
              </w:rPr>
              <w:t>5</w:t>
            </w:r>
          </w:p>
        </w:tc>
        <w:tc>
          <w:tcPr>
            <w:tcW w:w="1808" w:type="dxa"/>
            <w:tcBorders>
              <w:top w:val="single" w:sz="4" w:space="0" w:color="000000"/>
              <w:left w:val="single" w:sz="4" w:space="0" w:color="000000"/>
              <w:bottom w:val="single" w:sz="4" w:space="0" w:color="000000"/>
              <w:right w:val="single" w:sz="4" w:space="0" w:color="000000"/>
            </w:tcBorders>
            <w:vAlign w:val="center"/>
          </w:tcPr>
          <w:p w:rsidR="00A342B7" w:rsidRDefault="00CE623E">
            <w:pPr>
              <w:jc w:val="center"/>
              <w:rPr>
                <w:rFonts w:ascii="Times New Roman" w:hAnsi="Times New Roman" w:cs="Times New Roman"/>
                <w:color w:val="auto"/>
                <w:sz w:val="24"/>
                <w:szCs w:val="24"/>
                <w:lang w:val="uk-UA"/>
              </w:rPr>
            </w:pPr>
            <w:r>
              <w:rPr>
                <w:rFonts w:ascii="Times New Roman" w:hAnsi="Times New Roman" w:cs="Times New Roman"/>
                <w:color w:val="auto"/>
                <w:sz w:val="24"/>
                <w:szCs w:val="24"/>
              </w:rPr>
              <w:t>592,</w:t>
            </w:r>
            <w:r>
              <w:rPr>
                <w:rFonts w:ascii="Times New Roman" w:hAnsi="Times New Roman" w:cs="Times New Roman"/>
                <w:color w:val="auto"/>
                <w:sz w:val="24"/>
                <w:szCs w:val="24"/>
              </w:rPr>
              <w:t>124</w:t>
            </w:r>
          </w:p>
        </w:tc>
        <w:tc>
          <w:tcPr>
            <w:tcW w:w="1270" w:type="dxa"/>
            <w:tcBorders>
              <w:top w:val="single" w:sz="4" w:space="0" w:color="000000"/>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0</w:t>
            </w:r>
          </w:p>
        </w:tc>
        <w:tc>
          <w:tcPr>
            <w:tcW w:w="17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0</w:t>
            </w:r>
          </w:p>
        </w:tc>
        <w:tc>
          <w:tcPr>
            <w:tcW w:w="17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342B7" w:rsidRDefault="00CE623E">
            <w:pPr>
              <w:spacing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rPr>
              <w:t>592,124</w:t>
            </w:r>
          </w:p>
        </w:tc>
      </w:tr>
      <w:tr w:rsidR="00A342B7">
        <w:tc>
          <w:tcPr>
            <w:tcW w:w="1832" w:type="dxa"/>
            <w:tcBorders>
              <w:top w:val="single" w:sz="4" w:space="0" w:color="000000"/>
              <w:left w:val="single" w:sz="4" w:space="0" w:color="000000"/>
              <w:bottom w:val="single" w:sz="4" w:space="0" w:color="000000"/>
            </w:tcBorders>
            <w:vAlign w:val="center"/>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Фізичні особи – </w:t>
            </w:r>
            <w:r>
              <w:rPr>
                <w:rFonts w:ascii="Times New Roman" w:hAnsi="Times New Roman"/>
                <w:color w:val="auto"/>
                <w:sz w:val="24"/>
                <w:szCs w:val="24"/>
                <w:lang w:val="uk-UA"/>
              </w:rPr>
              <w:t>власники об'єктів нерухомості</w:t>
            </w:r>
          </w:p>
        </w:tc>
        <w:tc>
          <w:tcPr>
            <w:tcW w:w="1272" w:type="dxa"/>
            <w:tcBorders>
              <w:top w:val="single" w:sz="4" w:space="0" w:color="000000"/>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0,</w:t>
            </w:r>
            <w:r>
              <w:rPr>
                <w:rFonts w:ascii="Times New Roman" w:hAnsi="Times New Roman"/>
                <w:color w:val="auto"/>
                <w:sz w:val="24"/>
                <w:szCs w:val="24"/>
              </w:rPr>
              <w:t>5</w:t>
            </w:r>
          </w:p>
        </w:tc>
        <w:tc>
          <w:tcPr>
            <w:tcW w:w="1808" w:type="dxa"/>
            <w:tcBorders>
              <w:top w:val="single" w:sz="4" w:space="0" w:color="000000"/>
              <w:left w:val="single" w:sz="4" w:space="0" w:color="000000"/>
              <w:bottom w:val="single" w:sz="4" w:space="0" w:color="000000"/>
            </w:tcBorders>
            <w:vAlign w:val="center"/>
          </w:tcPr>
          <w:p w:rsidR="00A342B7" w:rsidRDefault="00CE623E">
            <w:pPr>
              <w:jc w:val="center"/>
              <w:rPr>
                <w:rFonts w:ascii="Times New Roman" w:hAnsi="Times New Roman" w:cs="Times New Roman"/>
                <w:color w:val="auto"/>
                <w:sz w:val="24"/>
                <w:szCs w:val="24"/>
              </w:rPr>
            </w:pPr>
            <w:r>
              <w:rPr>
                <w:rFonts w:ascii="Times New Roman" w:hAnsi="Times New Roman" w:cs="Times New Roman"/>
                <w:color w:val="auto"/>
                <w:sz w:val="24"/>
                <w:szCs w:val="24"/>
                <w:lang w:val="uk-UA"/>
              </w:rPr>
              <w:t>11,889</w:t>
            </w:r>
          </w:p>
        </w:tc>
        <w:tc>
          <w:tcPr>
            <w:tcW w:w="1270" w:type="dxa"/>
            <w:tcBorders>
              <w:top w:val="single" w:sz="4" w:space="0" w:color="000000"/>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0</w:t>
            </w:r>
          </w:p>
        </w:tc>
        <w:tc>
          <w:tcPr>
            <w:tcW w:w="17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0</w:t>
            </w:r>
          </w:p>
        </w:tc>
        <w:tc>
          <w:tcPr>
            <w:tcW w:w="17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342B7" w:rsidRDefault="00CE623E">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k-UA"/>
              </w:rPr>
              <w:t>11,</w:t>
            </w:r>
            <w:r>
              <w:rPr>
                <w:rFonts w:ascii="Times New Roman" w:hAnsi="Times New Roman"/>
                <w:color w:val="auto"/>
                <w:sz w:val="24"/>
                <w:szCs w:val="24"/>
                <w:lang w:val="uk-UA"/>
              </w:rPr>
              <w:t>889</w:t>
            </w:r>
          </w:p>
        </w:tc>
      </w:tr>
      <w:tr w:rsidR="00A342B7">
        <w:tc>
          <w:tcPr>
            <w:tcW w:w="1832" w:type="dxa"/>
            <w:tcBorders>
              <w:top w:val="single" w:sz="4" w:space="0" w:color="000000"/>
              <w:left w:val="single" w:sz="4" w:space="0" w:color="000000"/>
              <w:bottom w:val="single" w:sz="4" w:space="0" w:color="000000"/>
            </w:tcBorders>
            <w:vAlign w:val="center"/>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Разом (втрати до бюджету</w:t>
            </w:r>
          </w:p>
        </w:tc>
        <w:tc>
          <w:tcPr>
            <w:tcW w:w="1272" w:type="dxa"/>
            <w:tcBorders>
              <w:top w:val="single" w:sz="4" w:space="0" w:color="000000"/>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Х</w:t>
            </w:r>
          </w:p>
        </w:tc>
        <w:tc>
          <w:tcPr>
            <w:tcW w:w="1808" w:type="dxa"/>
            <w:tcBorders>
              <w:top w:val="single" w:sz="4" w:space="0" w:color="000000"/>
              <w:left w:val="single" w:sz="4" w:space="0" w:color="000000"/>
              <w:bottom w:val="single" w:sz="4" w:space="0" w:color="000000"/>
            </w:tcBorders>
            <w:vAlign w:val="center"/>
          </w:tcPr>
          <w:p w:rsidR="00A342B7" w:rsidRDefault="00CE623E">
            <w:pPr>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Х</w:t>
            </w:r>
          </w:p>
        </w:tc>
        <w:tc>
          <w:tcPr>
            <w:tcW w:w="1270" w:type="dxa"/>
            <w:tcBorders>
              <w:top w:val="single" w:sz="4" w:space="0" w:color="000000"/>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Х</w:t>
            </w:r>
          </w:p>
        </w:tc>
        <w:tc>
          <w:tcPr>
            <w:tcW w:w="17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342B7" w:rsidRDefault="00CE623E">
            <w:pPr>
              <w:pStyle w:val="af"/>
              <w:spacing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Х</w:t>
            </w:r>
          </w:p>
        </w:tc>
        <w:tc>
          <w:tcPr>
            <w:tcW w:w="17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342B7" w:rsidRDefault="00CE623E">
            <w:pPr>
              <w:pStyle w:val="Textbody"/>
              <w:spacing w:after="0" w:line="240" w:lineRule="auto"/>
              <w:jc w:val="center"/>
              <w:rPr>
                <w:rFonts w:ascii="Times New Roman" w:hAnsi="Times New Roman"/>
                <w:color w:val="auto"/>
                <w:sz w:val="28"/>
                <w:szCs w:val="28"/>
                <w:highlight w:val="white"/>
                <w:lang w:val="uk-UA"/>
              </w:rPr>
            </w:pPr>
            <w:r>
              <w:rPr>
                <w:rFonts w:ascii="Times New Roman" w:hAnsi="Times New Roman"/>
                <w:sz w:val="24"/>
                <w:szCs w:val="24"/>
                <w:shd w:val="clear" w:color="auto" w:fill="FFFFFF"/>
                <w:lang w:val="uk-UA"/>
              </w:rPr>
              <w:t>604,013</w:t>
            </w:r>
          </w:p>
        </w:tc>
      </w:tr>
    </w:tbl>
    <w:p w:rsidR="00A342B7" w:rsidRDefault="00A342B7">
      <w:pPr>
        <w:pStyle w:val="Textbody"/>
        <w:spacing w:after="0" w:line="240" w:lineRule="auto"/>
        <w:rPr>
          <w:rFonts w:ascii="Times New Roman" w:hAnsi="Times New Roman"/>
          <w:color w:val="auto"/>
          <w:sz w:val="28"/>
          <w:szCs w:val="28"/>
          <w:highlight w:val="white"/>
          <w:lang w:val="uk-UA"/>
        </w:rPr>
      </w:pP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i/>
          <w:iCs/>
          <w:sz w:val="28"/>
          <w:szCs w:val="28"/>
          <w:shd w:val="clear" w:color="auto" w:fill="FFFFFF"/>
          <w:lang w:val="uk-UA"/>
        </w:rPr>
        <w:t xml:space="preserve">Розмір мінімальної заробітної плати на 01.01.2019 року – 4173,00 грн., на 2020 рік – 4407,00 грн., прогноз на  2021 рік </w:t>
      </w:r>
      <w:r>
        <w:rPr>
          <w:rFonts w:ascii="Times New Roman" w:hAnsi="Times New Roman"/>
          <w:i/>
          <w:iCs/>
          <w:sz w:val="28"/>
          <w:szCs w:val="28"/>
          <w:shd w:val="clear" w:color="auto" w:fill="FFFFFF"/>
          <w:lang w:val="uk-UA"/>
        </w:rPr>
        <w:t>–</w:t>
      </w:r>
      <w:r>
        <w:rPr>
          <w:rFonts w:ascii="Times New Roman" w:hAnsi="Times New Roman"/>
          <w:i/>
          <w:iCs/>
          <w:sz w:val="28"/>
          <w:szCs w:val="28"/>
          <w:shd w:val="clear" w:color="auto" w:fill="FFFFFF"/>
          <w:lang w:val="uk-UA"/>
        </w:rPr>
        <w:t xml:space="preserve"> 5003,0 грн. (Державний бюджет України на 2019, 2020 роки, </w:t>
      </w:r>
      <w:r>
        <w:rPr>
          <w:rFonts w:ascii="Times New Roman" w:hAnsi="Times New Roman" w:cs="Times New Roman"/>
          <w:i/>
          <w:iCs/>
          <w:sz w:val="28"/>
          <w:szCs w:val="28"/>
          <w:shd w:val="clear" w:color="auto" w:fill="FFFFFF"/>
          <w:lang w:val="uk-UA"/>
        </w:rPr>
        <w:t>лист Міністерства фінансів України від 05.09.2019 року №05110-14-6/22263</w:t>
      </w:r>
      <w:r>
        <w:rPr>
          <w:rFonts w:ascii="Times New Roman" w:hAnsi="Times New Roman"/>
          <w:i/>
          <w:iCs/>
          <w:sz w:val="28"/>
          <w:szCs w:val="28"/>
          <w:shd w:val="clear" w:color="auto" w:fill="FFFFFF"/>
          <w:lang w:val="uk-UA"/>
        </w:rPr>
        <w:t>).</w:t>
      </w: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i/>
          <w:iCs/>
          <w:sz w:val="28"/>
          <w:szCs w:val="28"/>
          <w:shd w:val="clear" w:color="auto" w:fill="FFFFFF"/>
          <w:lang w:val="uk-UA"/>
        </w:rPr>
        <w:t>Кількість фізичних осіб-підприємців - 2, юридичних – 11. Розрахунок площі визначено як співвідношення фактичних надходжень</w:t>
      </w:r>
      <w:r>
        <w:rPr>
          <w:rFonts w:ascii="Times New Roman" w:hAnsi="Times New Roman"/>
          <w:i/>
          <w:iCs/>
          <w:sz w:val="28"/>
          <w:szCs w:val="28"/>
          <w:shd w:val="clear" w:color="auto" w:fill="FFFFFF"/>
          <w:lang w:val="uk-UA"/>
        </w:rPr>
        <w:t xml:space="preserve"> 2019 року до 1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xml:space="preserve">. м. нерухомості за відповідний період. Загальна площа нерухомості фізичних осіб – </w:t>
      </w:r>
      <w:r>
        <w:rPr>
          <w:rFonts w:ascii="Times New Roman" w:hAnsi="Times New Roman"/>
          <w:i/>
          <w:iCs/>
          <w:sz w:val="28"/>
          <w:szCs w:val="28"/>
          <w:shd w:val="clear" w:color="auto" w:fill="FFFFFF"/>
          <w:lang w:val="uk-UA"/>
        </w:rPr>
        <w:t>475,29</w:t>
      </w:r>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xml:space="preserve">. м.; загальна площа нерухомості юридичних осіб – </w:t>
      </w:r>
      <w:r w:rsidRPr="00CE623E">
        <w:rPr>
          <w:rFonts w:ascii="Times New Roman" w:hAnsi="Times New Roman"/>
          <w:i/>
          <w:iCs/>
          <w:sz w:val="28"/>
          <w:szCs w:val="28"/>
          <w:shd w:val="clear" w:color="auto" w:fill="FFFFFF"/>
          <w:lang w:val="uk-UA"/>
        </w:rPr>
        <w:t>23670,75</w:t>
      </w:r>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xml:space="preserve">. м. Загальна площа нерухомості – </w:t>
      </w:r>
      <w:r>
        <w:rPr>
          <w:rFonts w:ascii="Times New Roman" w:hAnsi="Times New Roman"/>
          <w:i/>
          <w:iCs/>
          <w:sz w:val="28"/>
          <w:szCs w:val="28"/>
          <w:shd w:val="clear" w:color="auto" w:fill="FFFFFF"/>
          <w:lang w:val="uk-UA"/>
        </w:rPr>
        <w:t>24146,04</w:t>
      </w:r>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м. Прогноз надходження на 2021 рік скл</w:t>
      </w:r>
      <w:r>
        <w:rPr>
          <w:rFonts w:ascii="Times New Roman" w:hAnsi="Times New Roman"/>
          <w:i/>
          <w:iCs/>
          <w:sz w:val="28"/>
          <w:szCs w:val="28"/>
          <w:shd w:val="clear" w:color="auto" w:fill="FFFFFF"/>
          <w:lang w:val="uk-UA"/>
        </w:rPr>
        <w:t>аде: 0,</w:t>
      </w:r>
      <w:r w:rsidRPr="00CE623E">
        <w:rPr>
          <w:rFonts w:ascii="Times New Roman" w:hAnsi="Times New Roman"/>
          <w:i/>
          <w:iCs/>
          <w:sz w:val="28"/>
          <w:szCs w:val="28"/>
          <w:shd w:val="clear" w:color="auto" w:fill="FFFFFF"/>
          <w:lang w:val="uk-UA"/>
        </w:rPr>
        <w:t>5</w:t>
      </w:r>
      <w:r>
        <w:rPr>
          <w:rFonts w:ascii="Times New Roman" w:hAnsi="Times New Roman"/>
          <w:i/>
          <w:iCs/>
          <w:sz w:val="28"/>
          <w:szCs w:val="28"/>
          <w:shd w:val="clear" w:color="auto" w:fill="FFFFFF"/>
          <w:lang w:val="uk-UA"/>
        </w:rPr>
        <w:t>*</w:t>
      </w:r>
      <w:r w:rsidRPr="00CE623E">
        <w:rPr>
          <w:rFonts w:ascii="Times New Roman" w:hAnsi="Times New Roman"/>
          <w:i/>
          <w:iCs/>
          <w:sz w:val="28"/>
          <w:szCs w:val="28"/>
          <w:shd w:val="clear" w:color="auto" w:fill="FFFFFF"/>
          <w:lang w:val="uk-UA"/>
        </w:rPr>
        <w:t>5003</w:t>
      </w:r>
      <w:r>
        <w:rPr>
          <w:rFonts w:ascii="Times New Roman" w:hAnsi="Times New Roman"/>
          <w:i/>
          <w:iCs/>
          <w:sz w:val="28"/>
          <w:szCs w:val="28"/>
          <w:shd w:val="clear" w:color="auto" w:fill="FFFFFF"/>
          <w:lang w:val="uk-UA"/>
        </w:rPr>
        <w:t>,0/100*</w:t>
      </w:r>
      <w:r>
        <w:rPr>
          <w:rFonts w:ascii="Times New Roman" w:hAnsi="Times New Roman"/>
          <w:i/>
          <w:iCs/>
          <w:sz w:val="28"/>
          <w:szCs w:val="28"/>
          <w:shd w:val="clear" w:color="auto" w:fill="FFFFFF"/>
          <w:lang w:val="uk-UA"/>
        </w:rPr>
        <w:t>24146,04</w:t>
      </w:r>
      <w:r>
        <w:rPr>
          <w:rFonts w:ascii="Times New Roman" w:hAnsi="Times New Roman"/>
          <w:i/>
          <w:iCs/>
          <w:sz w:val="28"/>
          <w:szCs w:val="28"/>
          <w:shd w:val="clear" w:color="auto" w:fill="FFFFFF"/>
          <w:lang w:val="uk-UA"/>
        </w:rPr>
        <w:t xml:space="preserve"> = </w:t>
      </w:r>
      <w:r w:rsidRPr="00CE623E">
        <w:rPr>
          <w:rFonts w:ascii="Times New Roman" w:hAnsi="Times New Roman"/>
          <w:i/>
          <w:iCs/>
          <w:sz w:val="28"/>
          <w:szCs w:val="28"/>
          <w:shd w:val="clear" w:color="auto" w:fill="FFFFFF"/>
          <w:lang w:val="uk-UA"/>
        </w:rPr>
        <w:t>604 013,19</w:t>
      </w:r>
      <w:r>
        <w:rPr>
          <w:rFonts w:ascii="Times New Roman" w:hAnsi="Times New Roman"/>
          <w:i/>
          <w:iCs/>
          <w:sz w:val="28"/>
          <w:szCs w:val="28"/>
          <w:shd w:val="clear" w:color="auto" w:fill="FFFFFF"/>
          <w:lang w:val="uk-UA"/>
        </w:rPr>
        <w:t xml:space="preserve"> грн. (</w:t>
      </w:r>
      <w:r>
        <w:rPr>
          <w:rFonts w:ascii="Times New Roman" w:hAnsi="Times New Roman"/>
          <w:i/>
          <w:iCs/>
          <w:sz w:val="28"/>
          <w:szCs w:val="28"/>
          <w:shd w:val="clear" w:color="auto" w:fill="FFFFFF"/>
          <w:lang w:val="uk-UA"/>
        </w:rPr>
        <w:t>604,013</w:t>
      </w:r>
      <w:r>
        <w:rPr>
          <w:rFonts w:ascii="Times New Roman" w:hAnsi="Times New Roman"/>
          <w:i/>
          <w:iCs/>
          <w:sz w:val="28"/>
          <w:szCs w:val="28"/>
          <w:shd w:val="clear" w:color="auto" w:fill="FFFFFF"/>
          <w:lang w:val="uk-UA"/>
        </w:rPr>
        <w:t xml:space="preserve"> тис. грн.)</w:t>
      </w:r>
    </w:p>
    <w:p w:rsidR="00A342B7" w:rsidRDefault="00A342B7">
      <w:pPr>
        <w:pStyle w:val="Textbody"/>
        <w:spacing w:after="0" w:line="240" w:lineRule="auto"/>
        <w:ind w:firstLine="709"/>
        <w:jc w:val="both"/>
        <w:rPr>
          <w:rFonts w:ascii="Times New Roman" w:hAnsi="Times New Roman"/>
          <w:color w:val="auto"/>
          <w:sz w:val="28"/>
          <w:szCs w:val="28"/>
          <w:highlight w:val="white"/>
          <w:lang w:val="uk-UA"/>
        </w:rPr>
      </w:pPr>
    </w:p>
    <w:p w:rsidR="00A342B7" w:rsidRDefault="00CE623E">
      <w:pPr>
        <w:pStyle w:val="Textbody"/>
        <w:spacing w:after="0" w:line="240" w:lineRule="auto"/>
        <w:ind w:firstLine="709"/>
        <w:rPr>
          <w:rFonts w:ascii="Times New Roman" w:hAnsi="Times New Roman"/>
          <w:b/>
          <w:bCs/>
          <w:color w:val="auto"/>
          <w:sz w:val="28"/>
          <w:szCs w:val="28"/>
          <w:lang w:val="uk-UA"/>
        </w:rPr>
      </w:pPr>
      <w:r>
        <w:rPr>
          <w:rFonts w:ascii="Times New Roman" w:hAnsi="Times New Roman"/>
          <w:b/>
          <w:bCs/>
          <w:sz w:val="28"/>
          <w:szCs w:val="28"/>
          <w:shd w:val="clear" w:color="auto" w:fill="FFFFFF"/>
          <w:lang w:val="uk-UA"/>
        </w:rPr>
        <w:t>Основні групи (підгрупи), на які проблема справляє вплив:</w:t>
      </w:r>
    </w:p>
    <w:tbl>
      <w:tblPr>
        <w:tblW w:w="5000" w:type="pct"/>
        <w:tblInd w:w="57" w:type="dxa"/>
        <w:tblCellMar>
          <w:top w:w="57" w:type="dxa"/>
          <w:left w:w="57" w:type="dxa"/>
          <w:bottom w:w="57" w:type="dxa"/>
          <w:right w:w="57" w:type="dxa"/>
        </w:tblCellMar>
        <w:tblLook w:val="0000" w:firstRow="0" w:lastRow="0" w:firstColumn="0" w:lastColumn="0" w:noHBand="0" w:noVBand="0"/>
      </w:tblPr>
      <w:tblGrid>
        <w:gridCol w:w="6231"/>
        <w:gridCol w:w="1773"/>
        <w:gridCol w:w="1747"/>
      </w:tblGrid>
      <w:tr w:rsidR="00A342B7">
        <w:tc>
          <w:tcPr>
            <w:tcW w:w="6158" w:type="dxa"/>
            <w:tcBorders>
              <w:top w:val="single" w:sz="2" w:space="0" w:color="000000"/>
              <w:left w:val="single" w:sz="2" w:space="0" w:color="000000"/>
              <w:bottom w:val="single" w:sz="2" w:space="0" w:color="000000"/>
            </w:tcBorders>
            <w:vAlign w:val="center"/>
          </w:tcPr>
          <w:p w:rsidR="00A342B7" w:rsidRDefault="00CE623E">
            <w:pPr>
              <w:pStyle w:val="Standard"/>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Групи (підгрупи)</w:t>
            </w:r>
          </w:p>
        </w:tc>
        <w:tc>
          <w:tcPr>
            <w:tcW w:w="1752" w:type="dxa"/>
            <w:tcBorders>
              <w:top w:val="single" w:sz="2" w:space="0" w:color="000000"/>
              <w:left w:val="single" w:sz="2" w:space="0" w:color="000000"/>
              <w:bottom w:val="single" w:sz="2" w:space="0" w:color="000000"/>
            </w:tcBorders>
            <w:vAlign w:val="center"/>
          </w:tcPr>
          <w:p w:rsidR="00A342B7" w:rsidRDefault="00CE623E">
            <w:pPr>
              <w:pStyle w:val="af"/>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Так</w:t>
            </w:r>
          </w:p>
        </w:tc>
        <w:tc>
          <w:tcPr>
            <w:tcW w:w="1727" w:type="dxa"/>
            <w:tcBorders>
              <w:top w:val="single" w:sz="2" w:space="0" w:color="000000"/>
              <w:left w:val="single" w:sz="2" w:space="0" w:color="000000"/>
              <w:bottom w:val="single" w:sz="2" w:space="0" w:color="000000"/>
              <w:right w:val="single" w:sz="2" w:space="0" w:color="000000"/>
            </w:tcBorders>
            <w:vAlign w:val="center"/>
          </w:tcPr>
          <w:p w:rsidR="00A342B7" w:rsidRDefault="00CE623E">
            <w:pPr>
              <w:pStyle w:val="af"/>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Ні</w:t>
            </w:r>
          </w:p>
        </w:tc>
      </w:tr>
      <w:tr w:rsidR="00A342B7">
        <w:tc>
          <w:tcPr>
            <w:tcW w:w="6158"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Держава</w:t>
            </w:r>
          </w:p>
        </w:tc>
        <w:tc>
          <w:tcPr>
            <w:tcW w:w="1752"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c>
          <w:tcPr>
            <w:tcW w:w="1727" w:type="dxa"/>
            <w:tcBorders>
              <w:left w:val="single" w:sz="2" w:space="0" w:color="000000"/>
              <w:bottom w:val="single" w:sz="2" w:space="0" w:color="000000"/>
              <w:right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r>
      <w:tr w:rsidR="00A342B7">
        <w:tc>
          <w:tcPr>
            <w:tcW w:w="6158"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Громадяни</w:t>
            </w:r>
          </w:p>
        </w:tc>
        <w:tc>
          <w:tcPr>
            <w:tcW w:w="1752"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c>
          <w:tcPr>
            <w:tcW w:w="1727" w:type="dxa"/>
            <w:tcBorders>
              <w:left w:val="single" w:sz="2" w:space="0" w:color="000000"/>
              <w:bottom w:val="single" w:sz="2" w:space="0" w:color="000000"/>
              <w:right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r>
      <w:tr w:rsidR="00A342B7">
        <w:tc>
          <w:tcPr>
            <w:tcW w:w="6158"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Суб’єкти господарювання</w:t>
            </w:r>
          </w:p>
        </w:tc>
        <w:tc>
          <w:tcPr>
            <w:tcW w:w="1752"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c>
          <w:tcPr>
            <w:tcW w:w="1727" w:type="dxa"/>
            <w:tcBorders>
              <w:left w:val="single" w:sz="2" w:space="0" w:color="000000"/>
              <w:bottom w:val="single" w:sz="2" w:space="0" w:color="000000"/>
              <w:right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r>
      <w:tr w:rsidR="00A342B7">
        <w:tc>
          <w:tcPr>
            <w:tcW w:w="6158"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у тому числі суб’єкти малого підприємництва</w:t>
            </w:r>
          </w:p>
        </w:tc>
        <w:tc>
          <w:tcPr>
            <w:tcW w:w="1752" w:type="dxa"/>
            <w:tcBorders>
              <w:left w:val="single" w:sz="2" w:space="0" w:color="000000"/>
              <w:bottom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c>
          <w:tcPr>
            <w:tcW w:w="1727" w:type="dxa"/>
            <w:tcBorders>
              <w:left w:val="single" w:sz="2" w:space="0" w:color="000000"/>
              <w:bottom w:val="single" w:sz="2" w:space="0" w:color="000000"/>
              <w:right w:val="single" w:sz="2"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t>-</w:t>
            </w:r>
          </w:p>
        </w:tc>
      </w:tr>
    </w:tbl>
    <w:p w:rsidR="00A342B7" w:rsidRDefault="00A342B7">
      <w:pPr>
        <w:pStyle w:val="Textbody"/>
        <w:spacing w:after="0" w:line="240" w:lineRule="auto"/>
        <w:rPr>
          <w:rFonts w:ascii="Times New Roman" w:hAnsi="Times New Roman"/>
          <w:color w:val="auto"/>
          <w:sz w:val="28"/>
          <w:szCs w:val="28"/>
          <w:lang w:val="uk-UA"/>
        </w:rPr>
      </w:pP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Обґрунтування неможливості вирішення проблеми за допомогою ринкових механізмів:</w:t>
      </w:r>
    </w:p>
    <w:p w:rsidR="00A342B7" w:rsidRPr="00CE623E" w:rsidRDefault="00CE623E">
      <w:pPr>
        <w:pStyle w:val="Textbody"/>
        <w:spacing w:after="0" w:line="240" w:lineRule="auto"/>
        <w:ind w:firstLine="709"/>
        <w:jc w:val="both"/>
        <w:rPr>
          <w:rFonts w:ascii="Times New Roman" w:hAnsi="Times New Roman"/>
          <w:sz w:val="28"/>
          <w:szCs w:val="28"/>
          <w:lang w:val="uk-UA"/>
        </w:rPr>
      </w:pPr>
      <w:r>
        <w:rPr>
          <w:rFonts w:ascii="Times New Roman" w:hAnsi="Times New Roman"/>
          <w:color w:val="auto"/>
          <w:sz w:val="28"/>
          <w:szCs w:val="28"/>
          <w:lang w:val="uk-UA"/>
        </w:rPr>
        <w:t xml:space="preserve">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w:t>
      </w:r>
      <w:r>
        <w:rPr>
          <w:rFonts w:ascii="Times New Roman" w:hAnsi="Times New Roman"/>
          <w:color w:val="auto"/>
          <w:sz w:val="28"/>
          <w:szCs w:val="28"/>
          <w:lang w:val="uk-UA"/>
        </w:rPr>
        <w:t>Податкового кодексу України є компетенцією сільської ради.</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Обґрунтування неможливості вирішення проблеми за допомогою діючих регуляторних актів:</w:t>
      </w:r>
    </w:p>
    <w:p w:rsidR="00A342B7" w:rsidRDefault="00CE623E">
      <w:pPr>
        <w:pStyle w:val="Textbody"/>
        <w:spacing w:after="0" w:line="240" w:lineRule="auto"/>
        <w:ind w:firstLine="709"/>
        <w:jc w:val="both"/>
        <w:rPr>
          <w:rFonts w:ascii="Times New Roman" w:hAnsi="Times New Roman"/>
          <w:sz w:val="28"/>
          <w:szCs w:val="28"/>
          <w:lang w:val="ru-RU"/>
        </w:rPr>
      </w:pPr>
      <w:r>
        <w:rPr>
          <w:rFonts w:ascii="Times New Roman" w:hAnsi="Times New Roman"/>
          <w:bCs/>
          <w:color w:val="auto"/>
          <w:sz w:val="28"/>
          <w:szCs w:val="28"/>
          <w:lang w:val="uk-UA"/>
        </w:rPr>
        <w:t xml:space="preserve">Зазначена проблема не може бути вирішена за допомогою діючих регуляторних актів з огляду на вимоги Податкового </w:t>
      </w:r>
      <w:r>
        <w:rPr>
          <w:rFonts w:ascii="Times New Roman" w:hAnsi="Times New Roman"/>
          <w:bCs/>
          <w:color w:val="auto"/>
          <w:sz w:val="28"/>
          <w:szCs w:val="28"/>
          <w:lang w:val="uk-UA"/>
        </w:rPr>
        <w:t>кодексу України. А саме, у разі, якщо сільська рада у термін до 15 липня не прийняла та не оприлюднила рішення про встановлення місцевих податків і зборів на наступний рік, такі податки справляються, виходячи з норми Податкового кодексу України, із застосу</w:t>
      </w:r>
      <w:r>
        <w:rPr>
          <w:rFonts w:ascii="Times New Roman" w:hAnsi="Times New Roman"/>
          <w:bCs/>
          <w:color w:val="auto"/>
          <w:sz w:val="28"/>
          <w:szCs w:val="28"/>
          <w:lang w:val="uk-UA"/>
        </w:rPr>
        <w:t xml:space="preserve">ванням їх мінімальних ставок. </w:t>
      </w:r>
    </w:p>
    <w:p w:rsidR="00A342B7" w:rsidRDefault="00A342B7">
      <w:pPr>
        <w:pStyle w:val="Textbody"/>
        <w:spacing w:after="0" w:line="240" w:lineRule="auto"/>
        <w:jc w:val="center"/>
        <w:rPr>
          <w:rFonts w:ascii="Times New Roman" w:hAnsi="Times New Roman"/>
          <w:b/>
          <w:bCs/>
          <w:color w:val="auto"/>
          <w:sz w:val="28"/>
          <w:szCs w:val="28"/>
          <w:lang w:val="uk-UA"/>
        </w:rPr>
      </w:pPr>
    </w:p>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ІІ. Цілі державного регулювання</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Цілі державного регулювання, безпосередньо пов'язані з розв'язанням проблеми:</w:t>
      </w:r>
    </w:p>
    <w:p w:rsidR="00A342B7" w:rsidRDefault="00CE623E">
      <w:pPr>
        <w:pStyle w:val="Textbody"/>
        <w:numPr>
          <w:ilvl w:val="0"/>
          <w:numId w:val="1"/>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Виконання вимог чинного законодавства;</w:t>
      </w:r>
    </w:p>
    <w:p w:rsidR="00A342B7" w:rsidRDefault="00CE623E">
      <w:pPr>
        <w:pStyle w:val="Textbody"/>
        <w:numPr>
          <w:ilvl w:val="0"/>
          <w:numId w:val="1"/>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 xml:space="preserve">Врегулювання відносин між Білоцерківською сільською радою та суб’єктами </w:t>
      </w:r>
      <w:r>
        <w:rPr>
          <w:rFonts w:ascii="Times New Roman" w:hAnsi="Times New Roman"/>
          <w:color w:val="auto"/>
          <w:sz w:val="28"/>
          <w:szCs w:val="28"/>
          <w:lang w:val="uk-UA"/>
        </w:rPr>
        <w:t>господарювання, що виникають у сфері справляння місцевих податків і зборів;</w:t>
      </w:r>
    </w:p>
    <w:p w:rsidR="00A342B7" w:rsidRDefault="00CE623E">
      <w:pPr>
        <w:pStyle w:val="Textbody"/>
        <w:numPr>
          <w:ilvl w:val="0"/>
          <w:numId w:val="1"/>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Встановлення ставок податку на нерухоме майно, відмінне від земельної ділянки, які б дозволили забезпечити сталі надходження до сільського бюджету для виконання програм соціально-е</w:t>
      </w:r>
      <w:r>
        <w:rPr>
          <w:rFonts w:ascii="Times New Roman" w:hAnsi="Times New Roman"/>
          <w:color w:val="auto"/>
          <w:sz w:val="28"/>
          <w:szCs w:val="28"/>
          <w:lang w:val="uk-UA"/>
        </w:rPr>
        <w:t>кономічного розвитку громади;</w:t>
      </w:r>
    </w:p>
    <w:p w:rsidR="00A342B7" w:rsidRDefault="00CE623E">
      <w:pPr>
        <w:pStyle w:val="Textbody"/>
        <w:numPr>
          <w:ilvl w:val="0"/>
          <w:numId w:val="1"/>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 xml:space="preserve">Отримання до сільського бюджету податкових надходжень від сплати  податку на нерухоме майно, відмінне від земельної ділянки орієнтовним обсягом </w:t>
      </w:r>
      <w:r>
        <w:rPr>
          <w:rFonts w:ascii="Times New Roman" w:hAnsi="Times New Roman"/>
          <w:sz w:val="28"/>
          <w:szCs w:val="28"/>
          <w:shd w:val="clear" w:color="auto" w:fill="FFFFFF"/>
          <w:lang w:val="uk-UA"/>
        </w:rPr>
        <w:t>604,013</w:t>
      </w:r>
      <w:r>
        <w:rPr>
          <w:rFonts w:ascii="Times New Roman" w:eastAsia="Times New Roman" w:hAnsi="Times New Roman" w:cs="Times New Roman"/>
          <w:color w:val="auto"/>
          <w:kern w:val="0"/>
          <w:sz w:val="28"/>
          <w:szCs w:val="28"/>
          <w:lang w:val="uk-UA" w:eastAsia="uk-UA" w:bidi="ar-SA"/>
        </w:rPr>
        <w:t xml:space="preserve"> </w:t>
      </w:r>
      <w:r>
        <w:rPr>
          <w:rFonts w:ascii="Times New Roman" w:hAnsi="Times New Roman"/>
          <w:color w:val="auto"/>
          <w:sz w:val="28"/>
          <w:szCs w:val="28"/>
          <w:lang w:val="uk-UA"/>
        </w:rPr>
        <w:t>тис. грн.</w:t>
      </w:r>
    </w:p>
    <w:p w:rsidR="00A342B7" w:rsidRDefault="00A342B7">
      <w:pPr>
        <w:pStyle w:val="Textbody"/>
        <w:spacing w:after="0" w:line="240" w:lineRule="auto"/>
        <w:rPr>
          <w:rFonts w:ascii="Times New Roman" w:hAnsi="Times New Roman"/>
          <w:color w:val="auto"/>
          <w:sz w:val="28"/>
          <w:szCs w:val="28"/>
          <w:lang w:val="uk-UA"/>
        </w:rPr>
      </w:pPr>
    </w:p>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III. Визначення та оцінка альтернативних способів досягнення ці</w:t>
      </w:r>
      <w:r>
        <w:rPr>
          <w:rFonts w:ascii="Times New Roman" w:hAnsi="Times New Roman"/>
          <w:b/>
          <w:bCs/>
          <w:color w:val="auto"/>
          <w:sz w:val="32"/>
          <w:szCs w:val="32"/>
          <w:lang w:val="uk-UA"/>
        </w:rPr>
        <w:t>лей</w:t>
      </w:r>
    </w:p>
    <w:p w:rsidR="00A342B7" w:rsidRDefault="00CE623E">
      <w:pPr>
        <w:pStyle w:val="Textbody"/>
        <w:numPr>
          <w:ilvl w:val="0"/>
          <w:numId w:val="3"/>
        </w:numPr>
        <w:spacing w:after="0" w:line="240" w:lineRule="auto"/>
        <w:ind w:left="709" w:hanging="284"/>
        <w:rPr>
          <w:rFonts w:ascii="Times New Roman" w:hAnsi="Times New Roman"/>
          <w:b/>
          <w:bCs/>
          <w:color w:val="auto"/>
          <w:sz w:val="28"/>
          <w:szCs w:val="28"/>
          <w:highlight w:val="white"/>
          <w:lang w:val="uk-UA"/>
        </w:rPr>
      </w:pPr>
      <w:r>
        <w:rPr>
          <w:rFonts w:ascii="Times New Roman" w:hAnsi="Times New Roman"/>
          <w:b/>
          <w:bCs/>
          <w:sz w:val="28"/>
          <w:szCs w:val="28"/>
          <w:shd w:val="clear" w:color="auto" w:fill="FFFFFF"/>
          <w:lang w:val="uk-UA"/>
        </w:rPr>
        <w:t>Визначення альтернативних способів</w:t>
      </w:r>
    </w:p>
    <w:tbl>
      <w:tblPr>
        <w:tblW w:w="9627" w:type="dxa"/>
        <w:tblInd w:w="57" w:type="dxa"/>
        <w:tblCellMar>
          <w:top w:w="57" w:type="dxa"/>
          <w:left w:w="57" w:type="dxa"/>
          <w:bottom w:w="57" w:type="dxa"/>
          <w:right w:w="57" w:type="dxa"/>
        </w:tblCellMar>
        <w:tblLook w:val="0000" w:firstRow="0" w:lastRow="0" w:firstColumn="0" w:lastColumn="0" w:noHBand="0" w:noVBand="0"/>
      </w:tblPr>
      <w:tblGrid>
        <w:gridCol w:w="3510"/>
        <w:gridCol w:w="6117"/>
      </w:tblGrid>
      <w:tr w:rsidR="00A342B7">
        <w:tc>
          <w:tcPr>
            <w:tcW w:w="3510"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Вид альтернативи</w:t>
            </w:r>
          </w:p>
        </w:tc>
        <w:tc>
          <w:tcPr>
            <w:tcW w:w="6116" w:type="dxa"/>
            <w:tcBorders>
              <w:top w:val="single" w:sz="4" w:space="0" w:color="000000"/>
              <w:left w:val="single" w:sz="4" w:space="0" w:color="000000"/>
              <w:bottom w:val="single" w:sz="4" w:space="0" w:color="000000"/>
              <w:right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Опис альтернативи</w:t>
            </w:r>
          </w:p>
        </w:tc>
      </w:tr>
      <w:tr w:rsidR="00A342B7" w:rsidRPr="00CE623E">
        <w:tc>
          <w:tcPr>
            <w:tcW w:w="351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1</w:t>
            </w:r>
          </w:p>
        </w:tc>
        <w:tc>
          <w:tcPr>
            <w:tcW w:w="6116" w:type="dxa"/>
            <w:tcBorders>
              <w:left w:val="single" w:sz="4" w:space="0" w:color="000000"/>
              <w:bottom w:val="single" w:sz="4" w:space="0" w:color="000000"/>
              <w:right w:val="single" w:sz="4" w:space="0" w:color="000000"/>
            </w:tcBorders>
          </w:tcPr>
          <w:p w:rsidR="00A342B7" w:rsidRDefault="00CE623E">
            <w:pPr>
              <w:pStyle w:val="Textbody"/>
              <w:spacing w:after="0" w:line="240" w:lineRule="auto"/>
              <w:rPr>
                <w:rFonts w:ascii="Times New Roman" w:hAnsi="Times New Roman"/>
                <w:sz w:val="24"/>
                <w:szCs w:val="28"/>
                <w:lang w:val="ru-RU"/>
              </w:rPr>
            </w:pPr>
            <w:r>
              <w:rPr>
                <w:rFonts w:ascii="Times New Roman" w:hAnsi="Times New Roman"/>
                <w:color w:val="auto"/>
                <w:sz w:val="24"/>
                <w:szCs w:val="28"/>
                <w:lang w:val="uk-UA"/>
              </w:rPr>
              <w:t xml:space="preserve">Неприйняття запропонованого регуляторного </w:t>
            </w:r>
            <w:proofErr w:type="spellStart"/>
            <w:r>
              <w:rPr>
                <w:rFonts w:ascii="Times New Roman" w:hAnsi="Times New Roman"/>
                <w:color w:val="auto"/>
                <w:sz w:val="24"/>
                <w:szCs w:val="28"/>
                <w:lang w:val="uk-UA"/>
              </w:rPr>
              <w:t>акта</w:t>
            </w:r>
            <w:proofErr w:type="spellEnd"/>
            <w:r>
              <w:rPr>
                <w:rFonts w:ascii="Times New Roman" w:hAnsi="Times New Roman"/>
                <w:color w:val="auto"/>
                <w:sz w:val="24"/>
                <w:szCs w:val="28"/>
                <w:lang w:val="uk-UA"/>
              </w:rPr>
              <w:t xml:space="preserve"> (збереження існуючого механізму регулювання)</w:t>
            </w:r>
          </w:p>
        </w:tc>
      </w:tr>
      <w:tr w:rsidR="00A342B7" w:rsidRPr="00CE623E">
        <w:tc>
          <w:tcPr>
            <w:tcW w:w="351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lastRenderedPageBreak/>
              <w:t>Альтернатива 2</w:t>
            </w:r>
          </w:p>
        </w:tc>
        <w:tc>
          <w:tcPr>
            <w:tcW w:w="6116" w:type="dxa"/>
            <w:tcBorders>
              <w:left w:val="single" w:sz="4" w:space="0" w:color="000000"/>
              <w:bottom w:val="single" w:sz="4" w:space="0" w:color="000000"/>
              <w:right w:val="single" w:sz="4" w:space="0" w:color="000000"/>
            </w:tcBorders>
          </w:tcPr>
          <w:p w:rsidR="00A342B7" w:rsidRDefault="00CE623E">
            <w:pPr>
              <w:pStyle w:val="Textbody"/>
              <w:spacing w:after="0" w:line="240" w:lineRule="auto"/>
              <w:rPr>
                <w:rFonts w:ascii="Times New Roman" w:hAnsi="Times New Roman"/>
                <w:sz w:val="24"/>
                <w:szCs w:val="28"/>
                <w:lang w:val="ru-RU"/>
              </w:rPr>
            </w:pPr>
            <w:r>
              <w:rPr>
                <w:rFonts w:ascii="Times New Roman" w:hAnsi="Times New Roman"/>
                <w:color w:val="auto"/>
                <w:sz w:val="24"/>
                <w:szCs w:val="28"/>
                <w:lang w:val="uk-UA"/>
              </w:rPr>
              <w:t xml:space="preserve">Прийняття регуляторного </w:t>
            </w:r>
            <w:proofErr w:type="spellStart"/>
            <w:r>
              <w:rPr>
                <w:rFonts w:ascii="Times New Roman" w:hAnsi="Times New Roman"/>
                <w:color w:val="auto"/>
                <w:sz w:val="24"/>
                <w:szCs w:val="28"/>
                <w:lang w:val="uk-UA"/>
              </w:rPr>
              <w:t>акта</w:t>
            </w:r>
            <w:proofErr w:type="spellEnd"/>
            <w:r>
              <w:rPr>
                <w:rFonts w:ascii="Times New Roman" w:hAnsi="Times New Roman"/>
                <w:color w:val="auto"/>
                <w:sz w:val="24"/>
                <w:szCs w:val="28"/>
                <w:lang w:val="uk-UA"/>
              </w:rPr>
              <w:t xml:space="preserve"> відповідно до Податкового </w:t>
            </w:r>
            <w:r>
              <w:rPr>
                <w:rFonts w:ascii="Times New Roman" w:hAnsi="Times New Roman"/>
                <w:color w:val="auto"/>
                <w:sz w:val="24"/>
                <w:szCs w:val="28"/>
                <w:lang w:val="uk-UA"/>
              </w:rPr>
              <w:t>кодексу України із запропонованими податковими ставками для суб’єктів господарювання</w:t>
            </w:r>
          </w:p>
        </w:tc>
      </w:tr>
      <w:tr w:rsidR="00A342B7" w:rsidRPr="00CE623E">
        <w:tc>
          <w:tcPr>
            <w:tcW w:w="351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3</w:t>
            </w:r>
          </w:p>
        </w:tc>
        <w:tc>
          <w:tcPr>
            <w:tcW w:w="6116" w:type="dxa"/>
            <w:tcBorders>
              <w:left w:val="single" w:sz="4" w:space="0" w:color="000000"/>
              <w:bottom w:val="single" w:sz="4" w:space="0" w:color="000000"/>
              <w:right w:val="single" w:sz="4" w:space="0" w:color="000000"/>
            </w:tcBorders>
          </w:tcPr>
          <w:p w:rsidR="00A342B7" w:rsidRDefault="00CE623E">
            <w:pPr>
              <w:pStyle w:val="Textbody"/>
              <w:spacing w:after="0" w:line="240" w:lineRule="auto"/>
              <w:rPr>
                <w:rFonts w:ascii="Times New Roman" w:hAnsi="Times New Roman"/>
                <w:sz w:val="24"/>
                <w:szCs w:val="28"/>
                <w:lang w:val="ru-RU"/>
              </w:rPr>
            </w:pPr>
            <w:r>
              <w:rPr>
                <w:rFonts w:ascii="Times New Roman" w:hAnsi="Times New Roman"/>
                <w:color w:val="auto"/>
                <w:sz w:val="24"/>
                <w:szCs w:val="28"/>
                <w:lang w:val="uk-UA"/>
              </w:rPr>
              <w:t>Прийняття проекту рішення із максимальними ставками податку відповідно до Податкового кодексу України</w:t>
            </w:r>
          </w:p>
        </w:tc>
      </w:tr>
    </w:tbl>
    <w:p w:rsidR="00A342B7" w:rsidRDefault="00A342B7">
      <w:pPr>
        <w:pStyle w:val="Textbody"/>
        <w:spacing w:after="0" w:line="240" w:lineRule="auto"/>
        <w:rPr>
          <w:rFonts w:ascii="Times New Roman" w:hAnsi="Times New Roman"/>
          <w:color w:val="auto"/>
          <w:sz w:val="28"/>
          <w:szCs w:val="28"/>
          <w:highlight w:val="white"/>
          <w:lang w:val="uk-UA"/>
        </w:rPr>
      </w:pP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i/>
          <w:iCs/>
          <w:sz w:val="28"/>
          <w:szCs w:val="28"/>
          <w:shd w:val="clear" w:color="auto" w:fill="FFFFFF"/>
          <w:lang w:val="uk-UA"/>
        </w:rPr>
        <w:t>При розрахунку витрат суб'</w:t>
      </w:r>
      <w:r>
        <w:rPr>
          <w:rFonts w:ascii="Times New Roman" w:hAnsi="Times New Roman"/>
          <w:i/>
          <w:iCs/>
          <w:sz w:val="28"/>
          <w:szCs w:val="28"/>
          <w:shd w:val="clear" w:color="auto" w:fill="FFFFFF"/>
          <w:lang w:val="uk-UA"/>
        </w:rPr>
        <w:t xml:space="preserve">єктів господарювання  при установленні максимальної ставки податку на нерухоме майно, відмінне від земельної ділянки (1,5%) вартість 1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xml:space="preserve">. м. об'єкта оподаткування складатиме </w:t>
      </w:r>
      <w:r>
        <w:rPr>
          <w:rFonts w:ascii="Times New Roman" w:hAnsi="Times New Roman"/>
          <w:i/>
          <w:iCs/>
          <w:sz w:val="28"/>
          <w:szCs w:val="28"/>
          <w:shd w:val="clear" w:color="auto" w:fill="FFFFFF"/>
          <w:lang w:val="uk-UA"/>
        </w:rPr>
        <w:t>75,05</w:t>
      </w:r>
      <w:r>
        <w:rPr>
          <w:rFonts w:ascii="Times New Roman" w:hAnsi="Times New Roman"/>
          <w:i/>
          <w:iCs/>
          <w:sz w:val="28"/>
          <w:szCs w:val="28"/>
          <w:shd w:val="clear" w:color="auto" w:fill="FFFFFF"/>
          <w:lang w:val="uk-UA"/>
        </w:rPr>
        <w:t xml:space="preserve"> грн.</w:t>
      </w: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i/>
          <w:iCs/>
          <w:sz w:val="28"/>
          <w:szCs w:val="28"/>
          <w:shd w:val="clear" w:color="auto" w:fill="FFFFFF"/>
          <w:lang w:val="uk-UA"/>
        </w:rPr>
        <w:t>Маючи загальну площу нерухомості (</w:t>
      </w:r>
      <w:r>
        <w:rPr>
          <w:rFonts w:ascii="Times New Roman" w:hAnsi="Times New Roman"/>
          <w:i/>
          <w:iCs/>
          <w:sz w:val="28"/>
          <w:szCs w:val="28"/>
          <w:shd w:val="clear" w:color="auto" w:fill="FFFFFF"/>
          <w:lang w:val="uk-UA"/>
        </w:rPr>
        <w:t xml:space="preserve">24146,04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м.</w:t>
      </w:r>
      <w:r>
        <w:rPr>
          <w:rFonts w:ascii="Times New Roman" w:hAnsi="Times New Roman"/>
          <w:i/>
          <w:iCs/>
          <w:sz w:val="28"/>
          <w:szCs w:val="28"/>
          <w:shd w:val="clear" w:color="auto" w:fill="FFFFFF"/>
          <w:lang w:val="uk-UA"/>
        </w:rPr>
        <w:t xml:space="preserve">) вираховуємо прогнозовані надходження при запровадженні максимальної ставки – </w:t>
      </w:r>
      <w:r>
        <w:rPr>
          <w:rFonts w:ascii="Times New Roman" w:hAnsi="Times New Roman"/>
          <w:i/>
          <w:iCs/>
          <w:sz w:val="28"/>
          <w:szCs w:val="28"/>
          <w:shd w:val="clear" w:color="auto" w:fill="FFFFFF"/>
          <w:lang w:val="uk-UA"/>
        </w:rPr>
        <w:t>24146,04</w:t>
      </w:r>
      <w:r>
        <w:rPr>
          <w:rFonts w:ascii="Times New Roman" w:hAnsi="Times New Roman"/>
          <w:i/>
          <w:iCs/>
          <w:sz w:val="28"/>
          <w:szCs w:val="28"/>
          <w:shd w:val="clear" w:color="auto" w:fill="FFFFFF"/>
          <w:lang w:val="uk-UA"/>
        </w:rPr>
        <w:t>*</w:t>
      </w:r>
      <w:r>
        <w:rPr>
          <w:rFonts w:ascii="Times New Roman" w:hAnsi="Times New Roman"/>
          <w:i/>
          <w:iCs/>
          <w:sz w:val="28"/>
          <w:szCs w:val="28"/>
          <w:shd w:val="clear" w:color="auto" w:fill="FFFFFF"/>
          <w:lang w:val="uk-UA"/>
        </w:rPr>
        <w:t>75,05</w:t>
      </w:r>
      <w:r>
        <w:rPr>
          <w:rFonts w:ascii="Times New Roman" w:hAnsi="Times New Roman"/>
          <w:i/>
          <w:iCs/>
          <w:sz w:val="28"/>
          <w:szCs w:val="28"/>
          <w:shd w:val="clear" w:color="auto" w:fill="FFFFFF"/>
          <w:lang w:val="uk-UA"/>
        </w:rPr>
        <w:t xml:space="preserve"> = 1812,16 тис. грн.</w:t>
      </w: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i/>
          <w:iCs/>
          <w:sz w:val="28"/>
          <w:szCs w:val="28"/>
          <w:shd w:val="clear" w:color="auto" w:fill="FFFFFF"/>
          <w:lang w:val="uk-UA"/>
        </w:rPr>
        <w:t xml:space="preserve">Загальна площа нерухомості фізичних осіб – </w:t>
      </w:r>
      <w:r>
        <w:rPr>
          <w:rFonts w:ascii="Times New Roman" w:hAnsi="Times New Roman"/>
          <w:i/>
          <w:iCs/>
          <w:sz w:val="28"/>
          <w:szCs w:val="28"/>
          <w:shd w:val="clear" w:color="auto" w:fill="FFFFFF"/>
          <w:lang w:val="uk-UA"/>
        </w:rPr>
        <w:t>475,29</w:t>
      </w:r>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xml:space="preserve">. м.; загальна площа нерухомості юридичних осіб – </w:t>
      </w:r>
      <w:r w:rsidRPr="00CE623E">
        <w:rPr>
          <w:rFonts w:ascii="Times New Roman" w:hAnsi="Times New Roman"/>
          <w:i/>
          <w:iCs/>
          <w:sz w:val="28"/>
          <w:szCs w:val="28"/>
          <w:shd w:val="clear" w:color="auto" w:fill="FFFFFF"/>
          <w:lang w:val="uk-UA"/>
        </w:rPr>
        <w:t>23670,75</w:t>
      </w:r>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м. Загальна площа нерухомос</w:t>
      </w:r>
      <w:r>
        <w:rPr>
          <w:rFonts w:ascii="Times New Roman" w:hAnsi="Times New Roman"/>
          <w:i/>
          <w:iCs/>
          <w:sz w:val="28"/>
          <w:szCs w:val="28"/>
          <w:shd w:val="clear" w:color="auto" w:fill="FFFFFF"/>
          <w:lang w:val="uk-UA"/>
        </w:rPr>
        <w:t xml:space="preserve">ті – </w:t>
      </w:r>
      <w:r>
        <w:rPr>
          <w:rFonts w:ascii="Times New Roman" w:hAnsi="Times New Roman"/>
          <w:i/>
          <w:iCs/>
          <w:sz w:val="28"/>
          <w:szCs w:val="28"/>
          <w:shd w:val="clear" w:color="auto" w:fill="FFFFFF"/>
          <w:lang w:val="uk-UA"/>
        </w:rPr>
        <w:t>24146,04</w:t>
      </w:r>
      <w:r>
        <w:rPr>
          <w:rFonts w:ascii="Times New Roman" w:hAnsi="Times New Roman"/>
          <w:i/>
          <w:iCs/>
          <w:sz w:val="28"/>
          <w:szCs w:val="28"/>
          <w:shd w:val="clear" w:color="auto" w:fill="FFFFFF"/>
          <w:lang w:val="uk-UA"/>
        </w:rPr>
        <w:t xml:space="preserve"> </w:t>
      </w:r>
      <w:proofErr w:type="spellStart"/>
      <w:r>
        <w:rPr>
          <w:rFonts w:ascii="Times New Roman" w:hAnsi="Times New Roman"/>
          <w:i/>
          <w:iCs/>
          <w:sz w:val="28"/>
          <w:szCs w:val="28"/>
          <w:shd w:val="clear" w:color="auto" w:fill="FFFFFF"/>
          <w:lang w:val="uk-UA"/>
        </w:rPr>
        <w:t>кв</w:t>
      </w:r>
      <w:proofErr w:type="spellEnd"/>
      <w:r>
        <w:rPr>
          <w:rFonts w:ascii="Times New Roman" w:hAnsi="Times New Roman"/>
          <w:i/>
          <w:iCs/>
          <w:sz w:val="28"/>
          <w:szCs w:val="28"/>
          <w:shd w:val="clear" w:color="auto" w:fill="FFFFFF"/>
          <w:lang w:val="uk-UA"/>
        </w:rPr>
        <w:t xml:space="preserve">. м. </w:t>
      </w:r>
    </w:p>
    <w:p w:rsidR="00A342B7" w:rsidRDefault="00A342B7">
      <w:pPr>
        <w:pStyle w:val="Textbody"/>
        <w:spacing w:after="0" w:line="240" w:lineRule="auto"/>
        <w:rPr>
          <w:rFonts w:ascii="Times New Roman" w:hAnsi="Times New Roman"/>
          <w:color w:val="auto"/>
          <w:sz w:val="28"/>
          <w:szCs w:val="28"/>
          <w:highlight w:val="white"/>
          <w:lang w:val="uk-UA"/>
        </w:rPr>
      </w:pPr>
    </w:p>
    <w:p w:rsidR="00A342B7" w:rsidRDefault="00CE623E">
      <w:pPr>
        <w:pStyle w:val="Textbody"/>
        <w:spacing w:after="0" w:line="240" w:lineRule="auto"/>
        <w:ind w:left="709" w:hanging="283"/>
        <w:rPr>
          <w:rFonts w:ascii="Times New Roman" w:hAnsi="Times New Roman"/>
          <w:b/>
          <w:bCs/>
          <w:color w:val="auto"/>
          <w:sz w:val="28"/>
          <w:szCs w:val="28"/>
          <w:highlight w:val="white"/>
          <w:lang w:val="uk-UA"/>
        </w:rPr>
      </w:pPr>
      <w:r>
        <w:rPr>
          <w:rFonts w:ascii="Times New Roman" w:hAnsi="Times New Roman"/>
          <w:b/>
          <w:bCs/>
          <w:sz w:val="28"/>
          <w:szCs w:val="28"/>
          <w:shd w:val="clear" w:color="auto" w:fill="FFFFFF"/>
          <w:lang w:val="uk-UA"/>
        </w:rPr>
        <w:t>2. Оцінка вибраних альтернативних способів досягнення цілей</w:t>
      </w:r>
    </w:p>
    <w:p w:rsidR="00A342B7" w:rsidRDefault="00CE623E">
      <w:pPr>
        <w:pStyle w:val="Textbody"/>
        <w:spacing w:after="0" w:line="240" w:lineRule="auto"/>
        <w:ind w:firstLine="709"/>
        <w:rPr>
          <w:rFonts w:ascii="Times New Roman" w:hAnsi="Times New Roman"/>
          <w:b/>
          <w:bCs/>
          <w:color w:val="auto"/>
          <w:sz w:val="28"/>
          <w:szCs w:val="28"/>
          <w:highlight w:val="white"/>
          <w:lang w:val="uk-UA"/>
        </w:rPr>
      </w:pPr>
      <w:r>
        <w:rPr>
          <w:rFonts w:ascii="Times New Roman" w:hAnsi="Times New Roman"/>
          <w:b/>
          <w:bCs/>
          <w:sz w:val="28"/>
          <w:szCs w:val="28"/>
          <w:shd w:val="clear" w:color="auto" w:fill="FFFFFF"/>
          <w:lang w:val="uk-UA"/>
        </w:rPr>
        <w:t>Оцінка впливу на сферу інтересів держави</w:t>
      </w:r>
    </w:p>
    <w:tbl>
      <w:tblPr>
        <w:tblW w:w="9627" w:type="dxa"/>
        <w:tblInd w:w="57" w:type="dxa"/>
        <w:tblCellMar>
          <w:top w:w="57" w:type="dxa"/>
          <w:left w:w="57" w:type="dxa"/>
          <w:bottom w:w="57" w:type="dxa"/>
          <w:right w:w="57" w:type="dxa"/>
        </w:tblCellMar>
        <w:tblLook w:val="0000" w:firstRow="0" w:lastRow="0" w:firstColumn="0" w:lastColumn="0" w:noHBand="0" w:noVBand="0"/>
      </w:tblPr>
      <w:tblGrid>
        <w:gridCol w:w="2993"/>
        <w:gridCol w:w="3191"/>
        <w:gridCol w:w="3443"/>
      </w:tblGrid>
      <w:tr w:rsidR="00A342B7">
        <w:tc>
          <w:tcPr>
            <w:tcW w:w="2993"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Вид альтернативи</w:t>
            </w:r>
          </w:p>
        </w:tc>
        <w:tc>
          <w:tcPr>
            <w:tcW w:w="3191"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Вигоди</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Витрати</w:t>
            </w:r>
          </w:p>
        </w:tc>
      </w:tr>
      <w:tr w:rsidR="00A342B7" w:rsidRPr="00CE623E">
        <w:tc>
          <w:tcPr>
            <w:tcW w:w="2993"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Альтернатива 1</w:t>
            </w:r>
          </w:p>
        </w:tc>
        <w:tc>
          <w:tcPr>
            <w:tcW w:w="3191"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Можливо, покращиться інвестиційна привабливість території через мінімальні ставки </w:t>
            </w:r>
            <w:r>
              <w:rPr>
                <w:rFonts w:ascii="Times New Roman" w:hAnsi="Times New Roman" w:cs="Times New Roman"/>
                <w:color w:val="auto"/>
                <w:sz w:val="24"/>
                <w:szCs w:val="24"/>
                <w:lang w:val="uk-UA"/>
              </w:rPr>
              <w:t>податку на нерухоме майно</w:t>
            </w:r>
          </w:p>
        </w:tc>
        <w:tc>
          <w:tcPr>
            <w:tcW w:w="3443"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Відповідно до ст. 12 Податкового кодексу України, податок справлятиметься із застосуванням мінімальної ставки податку 0%, що призведе до втрат доходів місцевого бюджету та неналежного фінансування програм соціально-економічного ро</w:t>
            </w:r>
            <w:r>
              <w:rPr>
                <w:rFonts w:ascii="Times New Roman" w:hAnsi="Times New Roman"/>
                <w:color w:val="auto"/>
                <w:sz w:val="24"/>
                <w:szCs w:val="24"/>
                <w:lang w:val="uk-UA"/>
              </w:rPr>
              <w:t xml:space="preserve">звитку сільської ради. Наслідком є недоотримання місцевим бюджетом надходжень на прогнозованому рівні </w:t>
            </w:r>
            <w:r>
              <w:rPr>
                <w:rFonts w:ascii="Times New Roman" w:hAnsi="Times New Roman"/>
                <w:sz w:val="24"/>
                <w:szCs w:val="24"/>
                <w:shd w:val="clear" w:color="auto" w:fill="FFFFFF"/>
                <w:lang w:val="uk-UA"/>
              </w:rPr>
              <w:t>604,013</w:t>
            </w:r>
            <w:r>
              <w:rPr>
                <w:rFonts w:ascii="Times New Roman" w:hAnsi="Times New Roman"/>
                <w:color w:val="auto"/>
                <w:sz w:val="24"/>
                <w:szCs w:val="24"/>
                <w:lang w:val="uk-UA"/>
              </w:rPr>
              <w:t xml:space="preserve"> тис. грн.</w:t>
            </w:r>
          </w:p>
        </w:tc>
      </w:tr>
      <w:tr w:rsidR="00A342B7" w:rsidRPr="00CE623E">
        <w:tc>
          <w:tcPr>
            <w:tcW w:w="2993"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Альтернатива 2</w:t>
            </w:r>
          </w:p>
        </w:tc>
        <w:tc>
          <w:tcPr>
            <w:tcW w:w="3191"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Забезпечує досягнення цілей державного регулювання.</w:t>
            </w:r>
            <w:r>
              <w:rPr>
                <w:rFonts w:ascii="Times New Roman" w:hAnsi="Times New Roman" w:cs="Times New Roman"/>
                <w:color w:val="auto"/>
                <w:sz w:val="24"/>
                <w:szCs w:val="24"/>
                <w:lang w:val="uk-UA"/>
              </w:rPr>
              <w:br/>
              <w:t xml:space="preserve">Враховує пропозиції фізичних та юридичних осіб, які прийняли участь </w:t>
            </w:r>
            <w:r>
              <w:rPr>
                <w:rFonts w:ascii="Times New Roman" w:hAnsi="Times New Roman" w:cs="Times New Roman"/>
                <w:color w:val="auto"/>
                <w:sz w:val="24"/>
                <w:szCs w:val="24"/>
                <w:lang w:val="uk-UA"/>
              </w:rPr>
              <w:t>в обговорені проекту рішення.</w:t>
            </w:r>
            <w:r>
              <w:rPr>
                <w:rFonts w:ascii="Times New Roman" w:hAnsi="Times New Roman" w:cs="Times New Roman"/>
                <w:color w:val="auto"/>
                <w:sz w:val="24"/>
                <w:szCs w:val="24"/>
                <w:lang w:val="uk-UA"/>
              </w:rPr>
              <w:br/>
              <w:t>Забезпечує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tc>
        <w:tc>
          <w:tcPr>
            <w:tcW w:w="3443"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Витрати часу, матеріальних ресурсів для фі</w:t>
            </w:r>
            <w:r>
              <w:rPr>
                <w:rFonts w:ascii="Times New Roman" w:hAnsi="Times New Roman"/>
                <w:color w:val="auto"/>
                <w:sz w:val="24"/>
                <w:szCs w:val="24"/>
                <w:lang w:val="uk-UA"/>
              </w:rPr>
              <w:t>скальних органів на адміністрування податку на нерухоме майно, відмінне від земельної ділянки</w:t>
            </w:r>
            <w:r>
              <w:rPr>
                <w:rFonts w:ascii="Times New Roman" w:hAnsi="Times New Roman"/>
                <w:color w:val="auto"/>
                <w:sz w:val="24"/>
                <w:szCs w:val="24"/>
                <w:lang w:val="uk-UA"/>
              </w:rPr>
              <w:br/>
            </w:r>
          </w:p>
        </w:tc>
      </w:tr>
      <w:tr w:rsidR="00A342B7" w:rsidRPr="00CE623E">
        <w:tc>
          <w:tcPr>
            <w:tcW w:w="2993"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Альтернатива 3</w:t>
            </w:r>
          </w:p>
        </w:tc>
        <w:tc>
          <w:tcPr>
            <w:tcW w:w="3191"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Прийняття нормативного </w:t>
            </w:r>
            <w:proofErr w:type="spellStart"/>
            <w:r>
              <w:rPr>
                <w:rFonts w:ascii="Times New Roman" w:hAnsi="Times New Roman" w:cs="Times New Roman"/>
                <w:color w:val="auto"/>
                <w:sz w:val="24"/>
                <w:szCs w:val="24"/>
                <w:lang w:val="uk-UA"/>
              </w:rPr>
              <w:t>акта</w:t>
            </w:r>
            <w:proofErr w:type="spellEnd"/>
            <w:r>
              <w:rPr>
                <w:rFonts w:ascii="Times New Roman" w:hAnsi="Times New Roman" w:cs="Times New Roman"/>
                <w:color w:val="auto"/>
                <w:sz w:val="24"/>
                <w:szCs w:val="24"/>
                <w:lang w:val="uk-UA"/>
              </w:rPr>
              <w:t xml:space="preserve"> з урахуванням вимог </w:t>
            </w:r>
            <w:r>
              <w:rPr>
                <w:rFonts w:ascii="Times New Roman" w:hAnsi="Times New Roman" w:cs="Times New Roman"/>
                <w:color w:val="auto"/>
                <w:sz w:val="24"/>
                <w:szCs w:val="24"/>
                <w:lang w:val="uk-UA"/>
              </w:rPr>
              <w:lastRenderedPageBreak/>
              <w:t xml:space="preserve">Податкового кодексу. Збільшення надходжень до бюджету сільської ради від сплати податку на </w:t>
            </w:r>
            <w:r>
              <w:rPr>
                <w:rFonts w:ascii="Times New Roman" w:hAnsi="Times New Roman" w:cs="Times New Roman"/>
                <w:color w:val="auto"/>
                <w:sz w:val="24"/>
                <w:szCs w:val="24"/>
                <w:lang w:val="uk-UA"/>
              </w:rPr>
              <w:t>нерухоме майно, відмінне від земельної ділянки, які можливо направити для забезпечення фінансування соціально важливих програми. Прогнозні надходженні до бюджету</w:t>
            </w:r>
            <w:r>
              <w:rPr>
                <w:rFonts w:ascii="Times New Roman" w:hAnsi="Times New Roman" w:cs="Times New Roman"/>
                <w:color w:val="auto"/>
                <w:sz w:val="24"/>
                <w:szCs w:val="24"/>
                <w:lang w:val="uk-UA"/>
              </w:rPr>
              <w:t xml:space="preserve"> на 2021 рік — </w:t>
            </w:r>
            <w:r>
              <w:rPr>
                <w:rFonts w:ascii="Times New Roman" w:hAnsi="Times New Roman" w:cs="Times New Roman"/>
                <w:sz w:val="24"/>
                <w:szCs w:val="24"/>
                <w:shd w:val="clear" w:color="auto" w:fill="FFFFFF"/>
                <w:lang w:val="uk-UA"/>
              </w:rPr>
              <w:t>18</w:t>
            </w:r>
            <w:r>
              <w:rPr>
                <w:rFonts w:ascii="Times New Roman" w:hAnsi="Times New Roman" w:cs="Times New Roman"/>
                <w:sz w:val="24"/>
                <w:szCs w:val="24"/>
                <w:shd w:val="clear" w:color="auto" w:fill="FFFFFF"/>
                <w:lang w:val="uk-UA"/>
              </w:rPr>
              <w:t>12,16</w:t>
            </w:r>
            <w:r>
              <w:rPr>
                <w:rFonts w:ascii="Times New Roman" w:hAnsi="Times New Roman" w:cs="Times New Roman"/>
                <w:sz w:val="24"/>
                <w:szCs w:val="24"/>
                <w:shd w:val="clear" w:color="auto" w:fill="FFFFFF"/>
                <w:lang w:val="uk-UA"/>
              </w:rPr>
              <w:t xml:space="preserve"> </w:t>
            </w:r>
            <w:r>
              <w:rPr>
                <w:rFonts w:ascii="Times New Roman" w:hAnsi="Times New Roman" w:cs="Times New Roman"/>
                <w:color w:val="auto"/>
                <w:sz w:val="24"/>
                <w:szCs w:val="24"/>
                <w:lang w:val="uk-UA"/>
              </w:rPr>
              <w:t>тис. грн.</w:t>
            </w:r>
            <w:r>
              <w:rPr>
                <w:rFonts w:ascii="Times New Roman" w:hAnsi="Times New Roman" w:cs="Times New Roman"/>
                <w:color w:val="auto"/>
                <w:sz w:val="24"/>
                <w:szCs w:val="24"/>
              </w:rPr>
              <w:t>‬</w:t>
            </w:r>
          </w:p>
        </w:tc>
        <w:tc>
          <w:tcPr>
            <w:tcW w:w="3443"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lastRenderedPageBreak/>
              <w:t xml:space="preserve">Витрати часу, матеріальних ресурсів для фіскальних органів </w:t>
            </w:r>
            <w:r>
              <w:rPr>
                <w:rFonts w:ascii="Times New Roman" w:hAnsi="Times New Roman"/>
                <w:color w:val="auto"/>
                <w:sz w:val="24"/>
                <w:szCs w:val="24"/>
                <w:lang w:val="uk-UA"/>
              </w:rPr>
              <w:lastRenderedPageBreak/>
              <w:t>на</w:t>
            </w:r>
            <w:r>
              <w:rPr>
                <w:rFonts w:ascii="Times New Roman" w:hAnsi="Times New Roman"/>
                <w:color w:val="auto"/>
                <w:sz w:val="24"/>
                <w:szCs w:val="24"/>
                <w:lang w:val="uk-UA"/>
              </w:rPr>
              <w:t xml:space="preserve"> адміністрування податку на нерухоме майно, відмінне від земельної ділянки</w:t>
            </w:r>
          </w:p>
        </w:tc>
      </w:tr>
    </w:tbl>
    <w:p w:rsidR="00A342B7" w:rsidRDefault="00A342B7">
      <w:pPr>
        <w:pStyle w:val="Textbody"/>
        <w:spacing w:after="0" w:line="240" w:lineRule="auto"/>
        <w:rPr>
          <w:rFonts w:ascii="Times New Roman" w:hAnsi="Times New Roman"/>
          <w:color w:val="auto"/>
          <w:sz w:val="28"/>
          <w:szCs w:val="28"/>
          <w:highlight w:val="white"/>
          <w:lang w:val="uk-UA"/>
        </w:rPr>
      </w:pPr>
    </w:p>
    <w:p w:rsidR="00A342B7" w:rsidRDefault="00CE623E">
      <w:pPr>
        <w:pStyle w:val="Textbody"/>
        <w:spacing w:after="0" w:line="240" w:lineRule="auto"/>
        <w:ind w:firstLine="709"/>
        <w:rPr>
          <w:rFonts w:ascii="Times New Roman" w:hAnsi="Times New Roman"/>
          <w:b/>
          <w:bCs/>
          <w:color w:val="auto"/>
          <w:sz w:val="28"/>
          <w:szCs w:val="28"/>
          <w:highlight w:val="white"/>
          <w:lang w:val="uk-UA"/>
        </w:rPr>
      </w:pPr>
      <w:r>
        <w:rPr>
          <w:rFonts w:ascii="Times New Roman" w:hAnsi="Times New Roman"/>
          <w:b/>
          <w:bCs/>
          <w:sz w:val="28"/>
          <w:szCs w:val="28"/>
          <w:shd w:val="clear" w:color="auto" w:fill="FFFFFF"/>
          <w:lang w:val="uk-UA"/>
        </w:rPr>
        <w:t>Оцінка впливу на сферу інтересів громадян</w:t>
      </w:r>
    </w:p>
    <w:tbl>
      <w:tblPr>
        <w:tblW w:w="9627" w:type="dxa"/>
        <w:tblInd w:w="57" w:type="dxa"/>
        <w:tblCellMar>
          <w:top w:w="57" w:type="dxa"/>
          <w:left w:w="57" w:type="dxa"/>
          <w:bottom w:w="57" w:type="dxa"/>
          <w:right w:w="57" w:type="dxa"/>
        </w:tblCellMar>
        <w:tblLook w:val="0000" w:firstRow="0" w:lastRow="0" w:firstColumn="0" w:lastColumn="0" w:noHBand="0" w:noVBand="0"/>
      </w:tblPr>
      <w:tblGrid>
        <w:gridCol w:w="2880"/>
        <w:gridCol w:w="3079"/>
        <w:gridCol w:w="3668"/>
      </w:tblGrid>
      <w:tr w:rsidR="00A342B7">
        <w:tc>
          <w:tcPr>
            <w:tcW w:w="2880"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Вид альтернативи</w:t>
            </w:r>
          </w:p>
        </w:tc>
        <w:tc>
          <w:tcPr>
            <w:tcW w:w="3079"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Вигоди</w:t>
            </w:r>
          </w:p>
        </w:tc>
        <w:tc>
          <w:tcPr>
            <w:tcW w:w="3668" w:type="dxa"/>
            <w:tcBorders>
              <w:top w:val="single" w:sz="4" w:space="0" w:color="000000"/>
              <w:left w:val="single" w:sz="4" w:space="0" w:color="000000"/>
              <w:bottom w:val="single" w:sz="4" w:space="0" w:color="000000"/>
              <w:right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Витрати</w:t>
            </w:r>
          </w:p>
        </w:tc>
      </w:tr>
      <w:tr w:rsidR="00A342B7">
        <w:tc>
          <w:tcPr>
            <w:tcW w:w="288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1</w:t>
            </w:r>
          </w:p>
        </w:tc>
        <w:tc>
          <w:tcPr>
            <w:tcW w:w="3079" w:type="dxa"/>
            <w:tcBorders>
              <w:left w:val="single" w:sz="4" w:space="0" w:color="000000"/>
              <w:bottom w:val="single" w:sz="4" w:space="0" w:color="000000"/>
            </w:tcBorders>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Через відсутність регулювання, оскільки на законодавчому рівні не визначено розмір </w:t>
            </w:r>
            <w:r>
              <w:rPr>
                <w:rFonts w:ascii="Times New Roman" w:hAnsi="Times New Roman"/>
                <w:color w:val="auto"/>
                <w:sz w:val="24"/>
                <w:szCs w:val="24"/>
                <w:lang w:val="uk-UA"/>
              </w:rPr>
              <w:t>мінімальної ставки, громадяни не сплачують податок на нерухоме майно, відмінне від земельної ділянки.</w:t>
            </w:r>
          </w:p>
        </w:tc>
        <w:tc>
          <w:tcPr>
            <w:tcW w:w="3668" w:type="dxa"/>
            <w:tcBorders>
              <w:left w:val="single" w:sz="4" w:space="0" w:color="000000"/>
              <w:bottom w:val="single" w:sz="4" w:space="0" w:color="000000"/>
              <w:right w:val="single" w:sz="4" w:space="0" w:color="000000"/>
            </w:tcBorders>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Витрати відсутні для громадян у частині плати податку однак, відсутність можливості додаткового наповнення доходної частині бюджету сільської ради, та від</w:t>
            </w:r>
            <w:r>
              <w:rPr>
                <w:rFonts w:ascii="Times New Roman" w:hAnsi="Times New Roman"/>
                <w:color w:val="auto"/>
                <w:sz w:val="24"/>
                <w:szCs w:val="24"/>
                <w:lang w:val="uk-UA"/>
              </w:rPr>
              <w:t>повідно збільшення його видаткової частини для фінансування соціально важливих програм.</w:t>
            </w:r>
            <w:r>
              <w:rPr>
                <w:rFonts w:ascii="Times New Roman" w:hAnsi="Times New Roman"/>
                <w:color w:val="auto"/>
                <w:sz w:val="24"/>
                <w:szCs w:val="24"/>
                <w:lang w:val="uk-UA"/>
              </w:rPr>
              <w:br/>
              <w:t xml:space="preserve">Бюджет сільської ради недоотримає </w:t>
            </w:r>
            <w:r>
              <w:rPr>
                <w:rFonts w:ascii="Times New Roman" w:hAnsi="Times New Roman"/>
                <w:sz w:val="24"/>
                <w:szCs w:val="24"/>
                <w:shd w:val="clear" w:color="auto" w:fill="FFFFFF"/>
                <w:lang w:val="uk-UA"/>
              </w:rPr>
              <w:t>604,013</w:t>
            </w:r>
            <w:r>
              <w:rPr>
                <w:rFonts w:ascii="Times New Roman" w:hAnsi="Times New Roman"/>
                <w:color w:val="auto"/>
                <w:sz w:val="24"/>
                <w:szCs w:val="24"/>
              </w:rPr>
              <w:t xml:space="preserve"> </w:t>
            </w:r>
            <w:r>
              <w:rPr>
                <w:rFonts w:ascii="Times New Roman" w:hAnsi="Times New Roman"/>
                <w:color w:val="auto"/>
                <w:sz w:val="24"/>
                <w:szCs w:val="24"/>
                <w:lang w:val="uk-UA"/>
              </w:rPr>
              <w:t>тис. грн.</w:t>
            </w:r>
          </w:p>
        </w:tc>
      </w:tr>
      <w:tr w:rsidR="00A342B7" w:rsidRPr="00CE623E">
        <w:tc>
          <w:tcPr>
            <w:tcW w:w="288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2</w:t>
            </w:r>
          </w:p>
        </w:tc>
        <w:tc>
          <w:tcPr>
            <w:tcW w:w="3079" w:type="dxa"/>
            <w:tcBorders>
              <w:left w:val="single" w:sz="4" w:space="0" w:color="000000"/>
              <w:bottom w:val="single" w:sz="4" w:space="0" w:color="000000"/>
            </w:tcBorders>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може бути прийнятною.</w:t>
            </w:r>
            <w:r>
              <w:rPr>
                <w:rFonts w:ascii="Times New Roman" w:hAnsi="Times New Roman"/>
                <w:color w:val="auto"/>
                <w:sz w:val="24"/>
                <w:szCs w:val="24"/>
                <w:lang w:val="uk-UA"/>
              </w:rPr>
              <w:br/>
              <w:t xml:space="preserve">Прогноз надходження від сплати податку </w:t>
            </w:r>
            <w:r>
              <w:rPr>
                <w:rFonts w:ascii="Times New Roman" w:hAnsi="Times New Roman"/>
                <w:sz w:val="24"/>
                <w:szCs w:val="24"/>
                <w:shd w:val="clear" w:color="auto" w:fill="FFFFFF"/>
                <w:lang w:val="uk-UA"/>
              </w:rPr>
              <w:t xml:space="preserve">604,013 </w:t>
            </w:r>
            <w:r>
              <w:rPr>
                <w:rFonts w:ascii="Times New Roman" w:hAnsi="Times New Roman"/>
                <w:color w:val="auto"/>
                <w:sz w:val="24"/>
                <w:szCs w:val="24"/>
                <w:lang w:val="uk-UA"/>
              </w:rPr>
              <w:t xml:space="preserve">тис. грн., що </w:t>
            </w:r>
            <w:r>
              <w:rPr>
                <w:rFonts w:ascii="Times New Roman" w:hAnsi="Times New Roman"/>
                <w:color w:val="auto"/>
                <w:sz w:val="24"/>
                <w:szCs w:val="24"/>
                <w:lang w:val="uk-UA"/>
              </w:rPr>
              <w:t>дасть можливість забезпечити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tc>
        <w:tc>
          <w:tcPr>
            <w:tcW w:w="3668" w:type="dxa"/>
            <w:tcBorders>
              <w:left w:val="single" w:sz="4" w:space="0" w:color="000000"/>
              <w:bottom w:val="single" w:sz="4" w:space="0" w:color="000000"/>
              <w:right w:val="single" w:sz="4" w:space="0" w:color="000000"/>
            </w:tcBorders>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За 1 км. м нерухомості, що перебуває у власності громадян, сплачується податок в </w:t>
            </w:r>
            <w:r>
              <w:rPr>
                <w:rFonts w:ascii="Times New Roman" w:hAnsi="Times New Roman" w:cs="Times New Roman"/>
                <w:color w:val="auto"/>
                <w:sz w:val="24"/>
                <w:szCs w:val="24"/>
                <w:lang w:val="uk-UA"/>
              </w:rPr>
              <w:t xml:space="preserve">розмірі </w:t>
            </w:r>
            <w:r>
              <w:rPr>
                <w:rFonts w:ascii="Times New Roman" w:hAnsi="Times New Roman" w:cs="Times New Roman"/>
                <w:color w:val="auto"/>
                <w:sz w:val="24"/>
                <w:szCs w:val="24"/>
                <w:lang w:val="uk-UA"/>
              </w:rPr>
              <w:t>25,02</w:t>
            </w:r>
            <w:r>
              <w:rPr>
                <w:rFonts w:ascii="Times New Roman" w:hAnsi="Times New Roman" w:cs="Times New Roman"/>
                <w:color w:val="auto"/>
                <w:sz w:val="24"/>
                <w:szCs w:val="24"/>
                <w:lang w:val="uk-UA"/>
              </w:rPr>
              <w:t xml:space="preserve"> грн</w:t>
            </w:r>
            <w:r>
              <w:rPr>
                <w:rFonts w:ascii="Times New Roman" w:hAnsi="Times New Roman"/>
                <w:color w:val="auto"/>
                <w:sz w:val="24"/>
                <w:szCs w:val="24"/>
                <w:lang w:val="uk-UA"/>
              </w:rPr>
              <w:t>. при ставці 0,5%</w:t>
            </w:r>
          </w:p>
        </w:tc>
      </w:tr>
      <w:tr w:rsidR="00A342B7" w:rsidRPr="00CE623E">
        <w:tc>
          <w:tcPr>
            <w:tcW w:w="288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3</w:t>
            </w:r>
          </w:p>
        </w:tc>
        <w:tc>
          <w:tcPr>
            <w:tcW w:w="3079" w:type="dxa"/>
            <w:tcBorders>
              <w:left w:val="single" w:sz="4" w:space="0" w:color="000000"/>
              <w:bottom w:val="single" w:sz="4" w:space="0" w:color="000000"/>
            </w:tcBorders>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При прогнозованому надходженні до місцевого бюд</w:t>
            </w:r>
            <w:r>
              <w:rPr>
                <w:rFonts w:ascii="Times New Roman" w:hAnsi="Times New Roman"/>
                <w:color w:val="auto"/>
                <w:sz w:val="24"/>
                <w:szCs w:val="24"/>
                <w:lang w:val="uk-UA"/>
              </w:rPr>
              <w:t xml:space="preserve">жету </w:t>
            </w:r>
            <w:r>
              <w:rPr>
                <w:rFonts w:ascii="Times New Roman" w:hAnsi="Times New Roman" w:cs="Times New Roman"/>
                <w:sz w:val="24"/>
                <w:szCs w:val="24"/>
                <w:shd w:val="clear" w:color="auto" w:fill="FFFFFF"/>
                <w:lang w:val="uk-UA"/>
              </w:rPr>
              <w:t>18</w:t>
            </w:r>
            <w:r>
              <w:rPr>
                <w:rFonts w:ascii="Times New Roman" w:hAnsi="Times New Roman" w:cs="Times New Roman"/>
                <w:sz w:val="24"/>
                <w:szCs w:val="24"/>
                <w:shd w:val="clear" w:color="auto" w:fill="FFFFFF"/>
                <w:lang w:val="uk-UA"/>
              </w:rPr>
              <w:t>12,16</w:t>
            </w: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ти</w:t>
            </w:r>
            <w:r>
              <w:rPr>
                <w:rFonts w:ascii="Times New Roman" w:hAnsi="Times New Roman"/>
                <w:color w:val="auto"/>
                <w:sz w:val="24"/>
                <w:szCs w:val="24"/>
                <w:lang w:val="uk-UA"/>
              </w:rPr>
              <w:t>с. грн. є можливість збільшення видатків на фінансування соціа</w:t>
            </w:r>
            <w:r>
              <w:rPr>
                <w:rFonts w:ascii="Times New Roman" w:hAnsi="Times New Roman"/>
                <w:color w:val="auto"/>
                <w:sz w:val="24"/>
                <w:szCs w:val="24"/>
                <w:lang w:val="uk-UA"/>
              </w:rPr>
              <w:t>льно важливих програм.</w:t>
            </w:r>
            <w:r w:rsidRPr="00CE623E">
              <w:rPr>
                <w:color w:val="auto"/>
                <w:sz w:val="24"/>
                <w:szCs w:val="24"/>
                <w:lang w:val="ru-RU"/>
              </w:rPr>
              <w:t>‬</w:t>
            </w:r>
          </w:p>
        </w:tc>
        <w:tc>
          <w:tcPr>
            <w:tcW w:w="3668" w:type="dxa"/>
            <w:tcBorders>
              <w:left w:val="single" w:sz="4" w:space="0" w:color="000000"/>
              <w:bottom w:val="single" w:sz="4" w:space="0" w:color="000000"/>
              <w:right w:val="single" w:sz="4" w:space="0" w:color="000000"/>
            </w:tcBorders>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Витрати платників податку на його сплату за максимально граничним розміром ставки 1,5%. За 1 </w:t>
            </w:r>
            <w:proofErr w:type="spellStart"/>
            <w:r>
              <w:rPr>
                <w:rFonts w:ascii="Times New Roman" w:hAnsi="Times New Roman"/>
                <w:color w:val="auto"/>
                <w:sz w:val="24"/>
                <w:szCs w:val="24"/>
                <w:lang w:val="uk-UA"/>
              </w:rPr>
              <w:t>кв</w:t>
            </w:r>
            <w:proofErr w:type="spellEnd"/>
            <w:r>
              <w:rPr>
                <w:rFonts w:ascii="Times New Roman" w:hAnsi="Times New Roman"/>
                <w:color w:val="auto"/>
                <w:sz w:val="24"/>
                <w:szCs w:val="24"/>
                <w:lang w:val="uk-UA"/>
              </w:rPr>
              <w:t xml:space="preserve">. м. житлової/нежитлової нерухомості, що перебуває у власності юридичних та фізичних осіб, сплачується податок у сумі </w:t>
            </w:r>
            <w:r>
              <w:rPr>
                <w:rFonts w:ascii="Times New Roman" w:hAnsi="Times New Roman"/>
                <w:color w:val="auto"/>
                <w:sz w:val="24"/>
                <w:szCs w:val="24"/>
                <w:lang w:val="uk-UA"/>
              </w:rPr>
              <w:t>75,05</w:t>
            </w:r>
            <w:r>
              <w:rPr>
                <w:rFonts w:ascii="Times New Roman" w:hAnsi="Times New Roman"/>
                <w:color w:val="auto"/>
                <w:sz w:val="24"/>
                <w:szCs w:val="24"/>
                <w:lang w:val="uk-UA"/>
              </w:rPr>
              <w:t xml:space="preserve"> грн., що в середньому більше на </w:t>
            </w:r>
            <w:r>
              <w:rPr>
                <w:rFonts w:ascii="Times New Roman" w:hAnsi="Times New Roman"/>
                <w:color w:val="auto"/>
                <w:sz w:val="24"/>
                <w:szCs w:val="24"/>
                <w:lang w:val="uk-UA"/>
              </w:rPr>
              <w:t>53,01</w:t>
            </w:r>
            <w:r>
              <w:rPr>
                <w:rFonts w:ascii="Times New Roman" w:hAnsi="Times New Roman"/>
                <w:color w:val="auto"/>
                <w:sz w:val="24"/>
                <w:szCs w:val="24"/>
                <w:lang w:val="uk-UA"/>
              </w:rPr>
              <w:t xml:space="preserve"> грн. у порівнянні з 2020 роком</w:t>
            </w:r>
          </w:p>
        </w:tc>
      </w:tr>
    </w:tbl>
    <w:p w:rsidR="00A342B7" w:rsidRDefault="00A342B7">
      <w:pPr>
        <w:pStyle w:val="Textbody"/>
        <w:spacing w:after="0" w:line="240" w:lineRule="auto"/>
        <w:rPr>
          <w:rFonts w:ascii="Times New Roman" w:hAnsi="Times New Roman"/>
          <w:color w:val="auto"/>
          <w:sz w:val="28"/>
          <w:szCs w:val="28"/>
          <w:highlight w:val="white"/>
          <w:lang w:val="uk-UA"/>
        </w:rPr>
      </w:pPr>
    </w:p>
    <w:p w:rsidR="00A342B7" w:rsidRDefault="00CE623E">
      <w:pPr>
        <w:pStyle w:val="Textbody"/>
        <w:spacing w:after="0" w:line="240" w:lineRule="auto"/>
        <w:ind w:firstLine="709"/>
        <w:rPr>
          <w:rFonts w:ascii="Times New Roman" w:hAnsi="Times New Roman"/>
          <w:b/>
          <w:bCs/>
          <w:color w:val="auto"/>
          <w:sz w:val="28"/>
          <w:szCs w:val="28"/>
          <w:highlight w:val="white"/>
          <w:lang w:val="uk-UA"/>
        </w:rPr>
      </w:pPr>
      <w:r>
        <w:rPr>
          <w:rFonts w:ascii="Times New Roman" w:hAnsi="Times New Roman"/>
          <w:b/>
          <w:bCs/>
          <w:sz w:val="28"/>
          <w:szCs w:val="28"/>
          <w:shd w:val="clear" w:color="auto" w:fill="FFFFFF"/>
          <w:lang w:val="uk-UA"/>
        </w:rPr>
        <w:t>Оцінка впливу на сферу інтересів суб'єктів господарювання</w:t>
      </w:r>
    </w:p>
    <w:tbl>
      <w:tblPr>
        <w:tblW w:w="9626" w:type="dxa"/>
        <w:tblInd w:w="57" w:type="dxa"/>
        <w:tblCellMar>
          <w:top w:w="57" w:type="dxa"/>
          <w:left w:w="57" w:type="dxa"/>
          <w:bottom w:w="57" w:type="dxa"/>
          <w:right w:w="57" w:type="dxa"/>
        </w:tblCellMar>
        <w:tblLook w:val="0000" w:firstRow="0" w:lastRow="0" w:firstColumn="0" w:lastColumn="0" w:noHBand="0" w:noVBand="0"/>
      </w:tblPr>
      <w:tblGrid>
        <w:gridCol w:w="5062"/>
        <w:gridCol w:w="899"/>
        <w:gridCol w:w="960"/>
        <w:gridCol w:w="792"/>
        <w:gridCol w:w="900"/>
        <w:gridCol w:w="1013"/>
      </w:tblGrid>
      <w:tr w:rsidR="00A342B7">
        <w:tc>
          <w:tcPr>
            <w:tcW w:w="5160" w:type="dxa"/>
            <w:tcBorders>
              <w:top w:val="single" w:sz="4" w:space="0" w:color="000000"/>
              <w:left w:val="single" w:sz="4" w:space="0" w:color="000000"/>
              <w:bottom w:val="single" w:sz="4" w:space="0" w:color="000000"/>
            </w:tcBorders>
          </w:tcPr>
          <w:p w:rsidR="00A342B7" w:rsidRDefault="00CE623E">
            <w:pPr>
              <w:pStyle w:val="Standard"/>
              <w:spacing w:line="240" w:lineRule="auto"/>
              <w:rPr>
                <w:rFonts w:ascii="Times New Roman" w:hAnsi="Times New Roman"/>
                <w:color w:val="auto"/>
                <w:sz w:val="24"/>
                <w:szCs w:val="24"/>
                <w:lang w:val="uk-UA"/>
              </w:rPr>
            </w:pPr>
            <w:r>
              <w:rPr>
                <w:rFonts w:ascii="Times New Roman" w:hAnsi="Times New Roman"/>
                <w:color w:val="auto"/>
                <w:sz w:val="24"/>
                <w:szCs w:val="24"/>
                <w:lang w:val="uk-UA"/>
              </w:rPr>
              <w:lastRenderedPageBreak/>
              <w:t>Показник</w:t>
            </w:r>
          </w:p>
        </w:tc>
        <w:tc>
          <w:tcPr>
            <w:tcW w:w="900"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Великі</w:t>
            </w:r>
          </w:p>
        </w:tc>
        <w:tc>
          <w:tcPr>
            <w:tcW w:w="856"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Середні</w:t>
            </w:r>
          </w:p>
        </w:tc>
        <w:tc>
          <w:tcPr>
            <w:tcW w:w="794"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Малі</w:t>
            </w:r>
          </w:p>
        </w:tc>
        <w:tc>
          <w:tcPr>
            <w:tcW w:w="901" w:type="dxa"/>
            <w:tcBorders>
              <w:top w:val="single" w:sz="4" w:space="0" w:color="000000"/>
              <w:left w:val="single" w:sz="4" w:space="0" w:color="000000"/>
              <w:bottom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Мікро</w:t>
            </w:r>
          </w:p>
        </w:tc>
        <w:tc>
          <w:tcPr>
            <w:tcW w:w="1014" w:type="dxa"/>
            <w:tcBorders>
              <w:top w:val="single" w:sz="4" w:space="0" w:color="000000"/>
              <w:left w:val="single" w:sz="4" w:space="0" w:color="000000"/>
              <w:bottom w:val="single" w:sz="4" w:space="0" w:color="000000"/>
              <w:right w:val="single" w:sz="4" w:space="0" w:color="000000"/>
            </w:tcBorders>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Разом</w:t>
            </w:r>
          </w:p>
        </w:tc>
      </w:tr>
      <w:tr w:rsidR="00A342B7">
        <w:tc>
          <w:tcPr>
            <w:tcW w:w="516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Кількість суб'єктів господарювання, що підпадають під дію регулювання, одиниць</w:t>
            </w:r>
          </w:p>
        </w:tc>
        <w:tc>
          <w:tcPr>
            <w:tcW w:w="900"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2</w:t>
            </w:r>
          </w:p>
        </w:tc>
        <w:tc>
          <w:tcPr>
            <w:tcW w:w="856"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7</w:t>
            </w:r>
          </w:p>
        </w:tc>
        <w:tc>
          <w:tcPr>
            <w:tcW w:w="794"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1</w:t>
            </w:r>
          </w:p>
        </w:tc>
        <w:tc>
          <w:tcPr>
            <w:tcW w:w="901"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3</w:t>
            </w:r>
          </w:p>
        </w:tc>
        <w:tc>
          <w:tcPr>
            <w:tcW w:w="1014" w:type="dxa"/>
            <w:tcBorders>
              <w:left w:val="single" w:sz="4" w:space="0" w:color="000000"/>
              <w:bottom w:val="single" w:sz="4" w:space="0" w:color="000000"/>
              <w:right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13</w:t>
            </w:r>
          </w:p>
        </w:tc>
      </w:tr>
      <w:tr w:rsidR="00A342B7">
        <w:tc>
          <w:tcPr>
            <w:tcW w:w="5160" w:type="dxa"/>
            <w:tcBorders>
              <w:left w:val="single" w:sz="4" w:space="0" w:color="000000"/>
              <w:bottom w:val="single" w:sz="4" w:space="0" w:color="000000"/>
            </w:tcBorders>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Питома вага групи у загальній кількості, відсотків</w:t>
            </w:r>
          </w:p>
        </w:tc>
        <w:tc>
          <w:tcPr>
            <w:tcW w:w="900"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15,38</w:t>
            </w:r>
            <w:r>
              <w:rPr>
                <w:rFonts w:ascii="Times New Roman" w:hAnsi="Times New Roman"/>
                <w:color w:val="auto"/>
                <w:sz w:val="24"/>
                <w:szCs w:val="24"/>
                <w:lang w:val="uk-UA"/>
              </w:rPr>
              <w:t>%</w:t>
            </w:r>
          </w:p>
        </w:tc>
        <w:tc>
          <w:tcPr>
            <w:tcW w:w="856"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53,85</w:t>
            </w:r>
            <w:r>
              <w:rPr>
                <w:rFonts w:ascii="Times New Roman" w:hAnsi="Times New Roman"/>
                <w:color w:val="auto"/>
                <w:sz w:val="24"/>
                <w:szCs w:val="24"/>
                <w:lang w:val="uk-UA"/>
              </w:rPr>
              <w:t>%</w:t>
            </w:r>
          </w:p>
        </w:tc>
        <w:tc>
          <w:tcPr>
            <w:tcW w:w="794"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7,69</w:t>
            </w:r>
            <w:r>
              <w:rPr>
                <w:rFonts w:ascii="Times New Roman" w:hAnsi="Times New Roman"/>
                <w:color w:val="auto"/>
                <w:sz w:val="24"/>
                <w:szCs w:val="24"/>
                <w:lang w:val="uk-UA"/>
              </w:rPr>
              <w:t>%</w:t>
            </w:r>
          </w:p>
        </w:tc>
        <w:tc>
          <w:tcPr>
            <w:tcW w:w="901" w:type="dxa"/>
            <w:tcBorders>
              <w:left w:val="single" w:sz="4" w:space="0" w:color="000000"/>
              <w:bottom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23,08</w:t>
            </w:r>
            <w:r>
              <w:rPr>
                <w:rFonts w:ascii="Times New Roman" w:hAnsi="Times New Roman"/>
                <w:color w:val="auto"/>
                <w:sz w:val="24"/>
                <w:szCs w:val="24"/>
                <w:lang w:val="uk-UA"/>
              </w:rPr>
              <w:t>%</w:t>
            </w:r>
          </w:p>
        </w:tc>
        <w:tc>
          <w:tcPr>
            <w:tcW w:w="1014" w:type="dxa"/>
            <w:tcBorders>
              <w:left w:val="single" w:sz="4" w:space="0" w:color="000000"/>
              <w:bottom w:val="single" w:sz="4" w:space="0" w:color="000000"/>
              <w:right w:val="single" w:sz="4" w:space="0" w:color="000000"/>
            </w:tcBorders>
            <w:vAlign w:val="center"/>
          </w:tcPr>
          <w:p w:rsidR="00A342B7" w:rsidRDefault="00CE623E">
            <w:pPr>
              <w:pStyle w:val="Textbody"/>
              <w:spacing w:after="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100,00%</w:t>
            </w:r>
          </w:p>
        </w:tc>
      </w:tr>
    </w:tbl>
    <w:p w:rsidR="00A342B7" w:rsidRDefault="00A342B7">
      <w:pPr>
        <w:pStyle w:val="Textbody"/>
        <w:spacing w:after="0" w:line="240" w:lineRule="auto"/>
        <w:rPr>
          <w:rFonts w:ascii="Times New Roman" w:hAnsi="Times New Roman"/>
          <w:color w:val="auto"/>
          <w:sz w:val="24"/>
          <w:szCs w:val="24"/>
          <w:highlight w:val="white"/>
          <w:lang w:val="uk-UA"/>
        </w:rPr>
      </w:pP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sz w:val="28"/>
          <w:szCs w:val="28"/>
          <w:shd w:val="clear" w:color="auto" w:fill="FFFFFF"/>
          <w:lang w:val="uk-UA"/>
        </w:rPr>
        <w:t xml:space="preserve">Відповідно до податкового законодавства, податок на нерухому майно, відмінне від земельної ділянки, сплачується до того місцевого бюджету на території якого </w:t>
      </w:r>
      <w:r>
        <w:rPr>
          <w:rFonts w:ascii="Times New Roman" w:hAnsi="Times New Roman"/>
          <w:sz w:val="28"/>
          <w:szCs w:val="28"/>
          <w:shd w:val="clear" w:color="auto" w:fill="FFFFFF"/>
          <w:lang w:val="uk-UA"/>
        </w:rPr>
        <w:t xml:space="preserve">розташовані об’єкти нерухомості. Тому, до кількості суб’єктів господарювання, на яких поширюється дія регуляторного </w:t>
      </w:r>
      <w:proofErr w:type="spellStart"/>
      <w:r>
        <w:rPr>
          <w:rFonts w:ascii="Times New Roman" w:hAnsi="Times New Roman"/>
          <w:sz w:val="28"/>
          <w:szCs w:val="28"/>
          <w:shd w:val="clear" w:color="auto" w:fill="FFFFFF"/>
          <w:lang w:val="uk-UA"/>
        </w:rPr>
        <w:t>акта</w:t>
      </w:r>
      <w:proofErr w:type="spellEnd"/>
      <w:r>
        <w:rPr>
          <w:rFonts w:ascii="Times New Roman" w:hAnsi="Times New Roman"/>
          <w:sz w:val="28"/>
          <w:szCs w:val="28"/>
          <w:shd w:val="clear" w:color="auto" w:fill="FFFFFF"/>
          <w:lang w:val="uk-UA"/>
        </w:rPr>
        <w:t>, включено також суб’єкти господарювання, які зареєстровані за межами сільської ради, але мають нерухомість на території.</w:t>
      </w:r>
    </w:p>
    <w:p w:rsidR="00A342B7" w:rsidRDefault="00A342B7">
      <w:pPr>
        <w:pStyle w:val="Textbody"/>
        <w:spacing w:after="0" w:line="240" w:lineRule="auto"/>
        <w:ind w:firstLine="709"/>
        <w:jc w:val="both"/>
        <w:rPr>
          <w:rFonts w:ascii="Times New Roman" w:hAnsi="Times New Roman"/>
          <w:color w:val="auto"/>
          <w:sz w:val="28"/>
          <w:szCs w:val="28"/>
          <w:highlight w:val="white"/>
          <w:lang w:val="uk-UA"/>
        </w:rPr>
      </w:pPr>
    </w:p>
    <w:p w:rsidR="00A342B7" w:rsidRDefault="00CE623E">
      <w:pPr>
        <w:pStyle w:val="Textbody"/>
        <w:spacing w:after="0" w:line="240" w:lineRule="auto"/>
        <w:jc w:val="center"/>
        <w:rPr>
          <w:rFonts w:ascii="Times New Roman" w:hAnsi="Times New Roman"/>
          <w:color w:val="auto"/>
          <w:sz w:val="28"/>
          <w:szCs w:val="28"/>
          <w:highlight w:val="white"/>
          <w:lang w:val="uk-UA"/>
        </w:rPr>
      </w:pPr>
      <w:r>
        <w:rPr>
          <w:rFonts w:ascii="Times New Roman" w:hAnsi="Times New Roman"/>
          <w:b/>
          <w:bCs/>
          <w:sz w:val="28"/>
          <w:szCs w:val="28"/>
          <w:shd w:val="clear" w:color="auto" w:fill="FFFFFF"/>
          <w:lang w:val="uk-UA"/>
        </w:rPr>
        <w:t xml:space="preserve">Розрахунок </w:t>
      </w:r>
      <w:r>
        <w:rPr>
          <w:rFonts w:ascii="Times New Roman" w:hAnsi="Times New Roman"/>
          <w:b/>
          <w:bCs/>
          <w:sz w:val="28"/>
          <w:szCs w:val="28"/>
          <w:shd w:val="clear" w:color="auto" w:fill="FFFFFF"/>
          <w:lang w:val="uk-UA"/>
        </w:rPr>
        <w:t>витрат суб’єктів господарюван</w:t>
      </w:r>
      <w:r>
        <w:rPr>
          <w:rFonts w:ascii="Times New Roman" w:hAnsi="Times New Roman"/>
          <w:b/>
          <w:bCs/>
          <w:sz w:val="28"/>
          <w:szCs w:val="28"/>
          <w:shd w:val="clear" w:color="auto" w:fill="FFFFFF"/>
          <w:lang w:val="uk-UA"/>
        </w:rPr>
        <w:t>ня на сплату податку на нерухоме майно, відмінне від земельної ділянки у 201</w:t>
      </w:r>
      <w:r>
        <w:rPr>
          <w:rFonts w:ascii="Times New Roman" w:hAnsi="Times New Roman"/>
          <w:b/>
          <w:bCs/>
          <w:sz w:val="28"/>
          <w:szCs w:val="28"/>
          <w:shd w:val="clear" w:color="auto" w:fill="FFFFFF"/>
          <w:lang w:val="uk-UA"/>
        </w:rPr>
        <w:t xml:space="preserve">9 </w:t>
      </w:r>
      <w:r>
        <w:rPr>
          <w:rFonts w:ascii="Times New Roman" w:hAnsi="Times New Roman"/>
          <w:b/>
          <w:bCs/>
          <w:sz w:val="28"/>
          <w:szCs w:val="28"/>
          <w:shd w:val="clear" w:color="auto" w:fill="FFFFFF"/>
          <w:lang w:val="uk-UA"/>
        </w:rPr>
        <w:t xml:space="preserve">– </w:t>
      </w:r>
      <w:r>
        <w:rPr>
          <w:rFonts w:ascii="Times New Roman" w:hAnsi="Times New Roman"/>
          <w:b/>
          <w:bCs/>
          <w:sz w:val="28"/>
          <w:szCs w:val="28"/>
          <w:shd w:val="clear" w:color="auto" w:fill="FFFFFF"/>
          <w:lang w:val="uk-UA"/>
        </w:rPr>
        <w:t>2021 роках</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982"/>
        <w:gridCol w:w="760"/>
        <w:gridCol w:w="1078"/>
        <w:gridCol w:w="760"/>
        <w:gridCol w:w="1078"/>
        <w:gridCol w:w="760"/>
        <w:gridCol w:w="1078"/>
        <w:gridCol w:w="1241"/>
        <w:gridCol w:w="1078"/>
        <w:gridCol w:w="877"/>
      </w:tblGrid>
      <w:tr w:rsidR="00A342B7">
        <w:tc>
          <w:tcPr>
            <w:tcW w:w="963" w:type="dxa"/>
            <w:vMerge w:val="restart"/>
            <w:tcBorders>
              <w:top w:val="single" w:sz="4" w:space="0" w:color="000000"/>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Платники</w:t>
            </w:r>
          </w:p>
        </w:tc>
        <w:tc>
          <w:tcPr>
            <w:tcW w:w="1928" w:type="dxa"/>
            <w:gridSpan w:val="2"/>
            <w:tcBorders>
              <w:top w:val="single" w:sz="4" w:space="0" w:color="000000"/>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2019</w:t>
            </w:r>
          </w:p>
        </w:tc>
        <w:tc>
          <w:tcPr>
            <w:tcW w:w="1927" w:type="dxa"/>
            <w:gridSpan w:val="2"/>
            <w:tcBorders>
              <w:top w:val="single" w:sz="4" w:space="0" w:color="000000"/>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2020</w:t>
            </w:r>
          </w:p>
        </w:tc>
        <w:tc>
          <w:tcPr>
            <w:tcW w:w="3855" w:type="dxa"/>
            <w:gridSpan w:val="4"/>
            <w:tcBorders>
              <w:top w:val="single" w:sz="4" w:space="0" w:color="000000"/>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2021</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Кількість платників</w:t>
            </w:r>
          </w:p>
        </w:tc>
      </w:tr>
      <w:tr w:rsidR="00A342B7" w:rsidRPr="00CE623E">
        <w:tc>
          <w:tcPr>
            <w:tcW w:w="963" w:type="dxa"/>
            <w:vMerge/>
            <w:tcBorders>
              <w:top w:val="single" w:sz="4" w:space="0" w:color="000000"/>
              <w:left w:val="single" w:sz="4" w:space="0" w:color="000000"/>
              <w:bottom w:val="single" w:sz="4" w:space="0" w:color="000000"/>
            </w:tcBorders>
            <w:vAlign w:val="center"/>
          </w:tcPr>
          <w:p w:rsidR="00A342B7" w:rsidRDefault="00A342B7">
            <w:pPr>
              <w:pStyle w:val="af"/>
              <w:spacing w:line="240" w:lineRule="auto"/>
              <w:jc w:val="center"/>
              <w:rPr>
                <w:rFonts w:ascii="Times New Roman" w:hAnsi="Times New Roman"/>
                <w:color w:val="00A933"/>
                <w:sz w:val="24"/>
                <w:szCs w:val="24"/>
              </w:rPr>
            </w:pP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Середня ставка %</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Обсяг надходжень, тис. грн.</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Середня ставка %</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Очікуваний обсяг надходжень,</w:t>
            </w:r>
            <w:r>
              <w:rPr>
                <w:rFonts w:ascii="Times New Roman" w:hAnsi="Times New Roman"/>
                <w:color w:val="auto"/>
                <w:sz w:val="24"/>
                <w:szCs w:val="24"/>
                <w:lang w:val="uk-UA"/>
              </w:rPr>
              <w:t xml:space="preserve"> тис. грн.</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Середня ставка %</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Очікуваний обсяг надходжень, тис. грн.</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Середня (максимальна) ставка %</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Очікуваний обсяг надходжень, тис. грн.</w:t>
            </w:r>
          </w:p>
        </w:tc>
        <w:tc>
          <w:tcPr>
            <w:tcW w:w="963" w:type="dxa"/>
            <w:vMerge/>
            <w:tcBorders>
              <w:top w:val="single" w:sz="4" w:space="0" w:color="000000"/>
              <w:left w:val="single" w:sz="4" w:space="0" w:color="000000"/>
              <w:bottom w:val="single" w:sz="4" w:space="0" w:color="000000"/>
              <w:right w:val="single" w:sz="4" w:space="0" w:color="000000"/>
            </w:tcBorders>
            <w:vAlign w:val="center"/>
          </w:tcPr>
          <w:p w:rsidR="00A342B7" w:rsidRPr="00CE623E" w:rsidRDefault="00A342B7">
            <w:pPr>
              <w:pStyle w:val="af"/>
              <w:spacing w:line="240" w:lineRule="auto"/>
              <w:jc w:val="center"/>
              <w:rPr>
                <w:rFonts w:ascii="Times New Roman" w:hAnsi="Times New Roman"/>
                <w:color w:val="00A933"/>
                <w:sz w:val="24"/>
                <w:szCs w:val="24"/>
                <w:lang w:val="ru-RU"/>
              </w:rPr>
            </w:pPr>
          </w:p>
        </w:tc>
      </w:tr>
      <w:tr w:rsidR="00A342B7">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Фізичні особи</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0,25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1,621</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3,424</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0,5</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3,887</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color w:val="00A933"/>
              </w:rPr>
            </w:pPr>
            <w:r>
              <w:rPr>
                <w:rFonts w:ascii="Times New Roman" w:hAnsi="Times New Roman"/>
                <w:color w:val="auto"/>
                <w:sz w:val="24"/>
                <w:szCs w:val="24"/>
                <w:lang w:val="uk-UA"/>
              </w:rPr>
              <w:t>11,</w:t>
            </w:r>
            <w:r>
              <w:rPr>
                <w:rFonts w:ascii="Times New Roman" w:hAnsi="Times New Roman"/>
                <w:color w:val="auto"/>
                <w:sz w:val="24"/>
                <w:szCs w:val="24"/>
                <w:lang w:val="uk-UA"/>
              </w:rPr>
              <w:t>661</w:t>
            </w:r>
          </w:p>
        </w:tc>
        <w:tc>
          <w:tcPr>
            <w:tcW w:w="963" w:type="dxa"/>
            <w:tcBorders>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w:t>
            </w:r>
          </w:p>
        </w:tc>
      </w:tr>
      <w:tr w:rsidR="00A342B7">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Фізичні особи-підприємці</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0,25</w:t>
            </w:r>
          </w:p>
        </w:tc>
        <w:tc>
          <w:tcPr>
            <w:tcW w:w="964" w:type="dxa"/>
            <w:tcBorders>
              <w:left w:val="single" w:sz="4" w:space="0" w:color="000000"/>
              <w:bottom w:val="single" w:sz="4" w:space="0" w:color="000000"/>
            </w:tcBorders>
            <w:vAlign w:val="center"/>
          </w:tcPr>
          <w:p w:rsidR="00A342B7" w:rsidRDefault="00CE623E">
            <w:pPr>
              <w:spacing w:line="240" w:lineRule="auto"/>
              <w:jc w:val="center"/>
              <w:rPr>
                <w:rFonts w:ascii="Times New Roman" w:hAnsi="Times New Roman"/>
                <w:color w:val="00A933"/>
                <w:sz w:val="24"/>
                <w:szCs w:val="24"/>
              </w:rPr>
            </w:pPr>
            <w:r>
              <w:rPr>
                <w:rFonts w:ascii="Times New Roman" w:hAnsi="Times New Roman"/>
                <w:color w:val="auto"/>
                <w:sz w:val="24"/>
                <w:szCs w:val="24"/>
              </w:rPr>
              <w:t>3,33</w:t>
            </w:r>
            <w:r>
              <w:rPr>
                <w:rFonts w:ascii="Times New Roman" w:hAnsi="Times New Roman"/>
                <w:color w:val="auto"/>
                <w:sz w:val="24"/>
                <w:szCs w:val="24"/>
                <w:lang w:val="uk-UA"/>
              </w:rPr>
              <w:t>7</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7,049</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0,5</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8,003</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color w:val="00A933"/>
              </w:rPr>
            </w:pPr>
            <w:r>
              <w:rPr>
                <w:rFonts w:ascii="Times New Roman" w:hAnsi="Times New Roman"/>
                <w:color w:val="auto"/>
                <w:sz w:val="24"/>
                <w:szCs w:val="24"/>
                <w:lang w:val="uk-UA"/>
              </w:rPr>
              <w:t>24,</w:t>
            </w:r>
            <w:r>
              <w:rPr>
                <w:rFonts w:ascii="Times New Roman" w:hAnsi="Times New Roman"/>
                <w:color w:val="auto"/>
                <w:sz w:val="24"/>
                <w:szCs w:val="24"/>
                <w:lang w:val="uk-UA"/>
              </w:rPr>
              <w:t>009</w:t>
            </w:r>
          </w:p>
        </w:tc>
        <w:tc>
          <w:tcPr>
            <w:tcW w:w="963" w:type="dxa"/>
            <w:tcBorders>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2</w:t>
            </w:r>
          </w:p>
        </w:tc>
      </w:tr>
      <w:tr w:rsidR="00A342B7">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Юридичні особи</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0,25</w:t>
            </w:r>
          </w:p>
        </w:tc>
        <w:tc>
          <w:tcPr>
            <w:tcW w:w="964" w:type="dxa"/>
            <w:tcBorders>
              <w:left w:val="single" w:sz="4" w:space="0" w:color="000000"/>
              <w:bottom w:val="single" w:sz="4" w:space="0" w:color="000000"/>
            </w:tcBorders>
            <w:vAlign w:val="center"/>
          </w:tcPr>
          <w:p w:rsidR="00A342B7" w:rsidRDefault="00CE623E">
            <w:pPr>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246,886</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521,5</w:t>
            </w:r>
            <w:r>
              <w:rPr>
                <w:rFonts w:ascii="Times New Roman" w:hAnsi="Times New Roman"/>
                <w:color w:val="auto"/>
                <w:sz w:val="24"/>
                <w:szCs w:val="24"/>
                <w:lang w:val="uk-UA"/>
              </w:rPr>
              <w:t>85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0,5</w:t>
            </w: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592,124</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1,5</w:t>
            </w: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color w:val="00A933"/>
              </w:rPr>
            </w:pPr>
            <w:r>
              <w:rPr>
                <w:rFonts w:ascii="Times New Roman" w:hAnsi="Times New Roman"/>
                <w:color w:val="auto"/>
                <w:sz w:val="24"/>
                <w:szCs w:val="24"/>
                <w:lang w:val="uk-UA"/>
              </w:rPr>
              <w:t>1776,</w:t>
            </w:r>
            <w:r>
              <w:rPr>
                <w:rFonts w:ascii="Times New Roman" w:hAnsi="Times New Roman"/>
                <w:color w:val="auto"/>
                <w:sz w:val="24"/>
                <w:szCs w:val="24"/>
                <w:lang w:val="uk-UA"/>
              </w:rPr>
              <w:t>49</w:t>
            </w:r>
          </w:p>
        </w:tc>
        <w:tc>
          <w:tcPr>
            <w:tcW w:w="963" w:type="dxa"/>
            <w:tcBorders>
              <w:left w:val="single" w:sz="4" w:space="0" w:color="000000"/>
              <w:bottom w:val="single" w:sz="4" w:space="0" w:color="000000"/>
              <w:right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11</w:t>
            </w:r>
          </w:p>
        </w:tc>
      </w:tr>
      <w:tr w:rsidR="00A342B7">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Всього</w:t>
            </w:r>
          </w:p>
        </w:tc>
        <w:tc>
          <w:tcPr>
            <w:tcW w:w="964" w:type="dxa"/>
            <w:tcBorders>
              <w:left w:val="single" w:sz="4" w:space="0" w:color="000000"/>
              <w:bottom w:val="single" w:sz="4" w:space="0" w:color="000000"/>
            </w:tcBorders>
            <w:vAlign w:val="center"/>
          </w:tcPr>
          <w:p w:rsidR="00A342B7" w:rsidRDefault="00A342B7">
            <w:pPr>
              <w:pStyle w:val="af"/>
              <w:spacing w:line="240" w:lineRule="auto"/>
              <w:jc w:val="center"/>
              <w:rPr>
                <w:rFonts w:ascii="Times New Roman" w:hAnsi="Times New Roman"/>
                <w:color w:val="00A933"/>
                <w:sz w:val="24"/>
                <w:szCs w:val="24"/>
              </w:rPr>
            </w:pP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251,844</w:t>
            </w:r>
          </w:p>
        </w:tc>
        <w:tc>
          <w:tcPr>
            <w:tcW w:w="963" w:type="dxa"/>
            <w:tcBorders>
              <w:left w:val="single" w:sz="4" w:space="0" w:color="000000"/>
              <w:bottom w:val="single" w:sz="4" w:space="0" w:color="000000"/>
            </w:tcBorders>
            <w:vAlign w:val="center"/>
          </w:tcPr>
          <w:p w:rsidR="00A342B7" w:rsidRDefault="00A342B7">
            <w:pPr>
              <w:pStyle w:val="af"/>
              <w:spacing w:line="240" w:lineRule="auto"/>
              <w:jc w:val="center"/>
              <w:rPr>
                <w:rFonts w:ascii="Times New Roman" w:hAnsi="Times New Roman"/>
                <w:color w:val="00A933"/>
                <w:sz w:val="24"/>
                <w:szCs w:val="24"/>
              </w:rPr>
            </w:pP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532,058</w:t>
            </w:r>
          </w:p>
        </w:tc>
        <w:tc>
          <w:tcPr>
            <w:tcW w:w="964" w:type="dxa"/>
            <w:tcBorders>
              <w:left w:val="single" w:sz="4" w:space="0" w:color="000000"/>
              <w:bottom w:val="single" w:sz="4" w:space="0" w:color="000000"/>
            </w:tcBorders>
            <w:vAlign w:val="center"/>
          </w:tcPr>
          <w:p w:rsidR="00A342B7" w:rsidRDefault="00A342B7">
            <w:pPr>
              <w:pStyle w:val="af"/>
              <w:spacing w:line="240" w:lineRule="auto"/>
              <w:jc w:val="center"/>
              <w:rPr>
                <w:rFonts w:ascii="Times New Roman" w:hAnsi="Times New Roman"/>
                <w:color w:val="00A933"/>
                <w:sz w:val="24"/>
                <w:szCs w:val="24"/>
              </w:rPr>
            </w:pPr>
          </w:p>
        </w:tc>
        <w:tc>
          <w:tcPr>
            <w:tcW w:w="963"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604,013</w:t>
            </w:r>
          </w:p>
        </w:tc>
        <w:tc>
          <w:tcPr>
            <w:tcW w:w="964" w:type="dxa"/>
            <w:tcBorders>
              <w:left w:val="single" w:sz="4" w:space="0" w:color="000000"/>
              <w:bottom w:val="single" w:sz="4" w:space="0" w:color="000000"/>
            </w:tcBorders>
            <w:vAlign w:val="center"/>
          </w:tcPr>
          <w:p w:rsidR="00A342B7" w:rsidRDefault="00A342B7">
            <w:pPr>
              <w:pStyle w:val="af"/>
              <w:spacing w:line="240" w:lineRule="auto"/>
              <w:jc w:val="center"/>
              <w:rPr>
                <w:rFonts w:ascii="Times New Roman" w:hAnsi="Times New Roman"/>
                <w:color w:val="00A933"/>
                <w:sz w:val="24"/>
                <w:szCs w:val="24"/>
              </w:rPr>
            </w:pPr>
          </w:p>
        </w:tc>
        <w:tc>
          <w:tcPr>
            <w:tcW w:w="964" w:type="dxa"/>
            <w:tcBorders>
              <w:left w:val="single" w:sz="4" w:space="0" w:color="000000"/>
              <w:bottom w:val="single" w:sz="4" w:space="0" w:color="000000"/>
            </w:tcBorders>
            <w:vAlign w:val="center"/>
          </w:tcPr>
          <w:p w:rsidR="00A342B7" w:rsidRDefault="00CE623E">
            <w:pPr>
              <w:pStyle w:val="af"/>
              <w:spacing w:line="240" w:lineRule="auto"/>
              <w:jc w:val="center"/>
              <w:rPr>
                <w:rFonts w:ascii="Times New Roman" w:hAnsi="Times New Roman"/>
                <w:color w:val="00A933"/>
                <w:sz w:val="24"/>
                <w:szCs w:val="24"/>
                <w:lang w:val="uk-UA"/>
              </w:rPr>
            </w:pPr>
            <w:r>
              <w:rPr>
                <w:rFonts w:ascii="Times New Roman" w:hAnsi="Times New Roman"/>
                <w:color w:val="auto"/>
                <w:sz w:val="24"/>
                <w:szCs w:val="24"/>
                <w:lang w:val="uk-UA"/>
              </w:rPr>
              <w:t>1812,16</w:t>
            </w:r>
          </w:p>
        </w:tc>
        <w:tc>
          <w:tcPr>
            <w:tcW w:w="963" w:type="dxa"/>
            <w:tcBorders>
              <w:left w:val="single" w:sz="4" w:space="0" w:color="000000"/>
              <w:bottom w:val="single" w:sz="4" w:space="0" w:color="000000"/>
              <w:right w:val="single" w:sz="4" w:space="0" w:color="000000"/>
            </w:tcBorders>
            <w:vAlign w:val="center"/>
          </w:tcPr>
          <w:p w:rsidR="00A342B7" w:rsidRDefault="00A342B7">
            <w:pPr>
              <w:pStyle w:val="af"/>
              <w:spacing w:line="240" w:lineRule="auto"/>
              <w:jc w:val="center"/>
              <w:rPr>
                <w:rFonts w:ascii="Times New Roman" w:hAnsi="Times New Roman"/>
                <w:color w:val="00A933"/>
                <w:sz w:val="24"/>
                <w:szCs w:val="24"/>
              </w:rPr>
            </w:pPr>
          </w:p>
        </w:tc>
      </w:tr>
    </w:tbl>
    <w:p w:rsidR="00A342B7" w:rsidRDefault="00A342B7">
      <w:pPr>
        <w:pStyle w:val="Textbody"/>
        <w:spacing w:after="0" w:line="240" w:lineRule="auto"/>
        <w:jc w:val="both"/>
        <w:rPr>
          <w:rFonts w:ascii="Times New Roman" w:hAnsi="Times New Roman"/>
          <w:color w:val="auto"/>
          <w:sz w:val="24"/>
          <w:szCs w:val="24"/>
          <w:highlight w:val="white"/>
          <w:lang w:val="uk-UA"/>
        </w:rPr>
      </w:pPr>
    </w:p>
    <w:p w:rsidR="00A342B7" w:rsidRDefault="00A342B7">
      <w:pPr>
        <w:pStyle w:val="Textbody"/>
        <w:spacing w:after="0" w:line="240" w:lineRule="auto"/>
        <w:ind w:firstLine="709"/>
        <w:jc w:val="both"/>
        <w:rPr>
          <w:rFonts w:ascii="Times New Roman" w:hAnsi="Times New Roman"/>
          <w:color w:val="auto"/>
          <w:sz w:val="24"/>
          <w:szCs w:val="24"/>
          <w:highlight w:val="white"/>
          <w:lang w:val="uk-UA"/>
        </w:rPr>
      </w:pPr>
    </w:p>
    <w:tbl>
      <w:tblPr>
        <w:tblW w:w="9627" w:type="dxa"/>
        <w:tblInd w:w="57" w:type="dxa"/>
        <w:tblCellMar>
          <w:top w:w="57" w:type="dxa"/>
          <w:left w:w="57" w:type="dxa"/>
          <w:bottom w:w="57" w:type="dxa"/>
          <w:right w:w="57" w:type="dxa"/>
        </w:tblCellMar>
        <w:tblLook w:val="0000" w:firstRow="0" w:lastRow="0" w:firstColumn="0" w:lastColumn="0" w:noHBand="0" w:noVBand="0"/>
      </w:tblPr>
      <w:tblGrid>
        <w:gridCol w:w="2721"/>
        <w:gridCol w:w="3372"/>
        <w:gridCol w:w="3534"/>
      </w:tblGrid>
      <w:tr w:rsidR="00A342B7">
        <w:tc>
          <w:tcPr>
            <w:tcW w:w="2721"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Вид альтернативи</w:t>
            </w:r>
          </w:p>
        </w:tc>
        <w:tc>
          <w:tcPr>
            <w:tcW w:w="3372"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Вигоди</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Витрати</w:t>
            </w:r>
          </w:p>
        </w:tc>
      </w:tr>
      <w:tr w:rsidR="00A342B7" w:rsidRPr="00CE623E">
        <w:tc>
          <w:tcPr>
            <w:tcW w:w="2721"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1</w:t>
            </w:r>
          </w:p>
        </w:tc>
        <w:tc>
          <w:tcPr>
            <w:tcW w:w="3372"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Сплата податку за мінімальними ставками, передбаченими Податковим кодексом </w:t>
            </w:r>
            <w:r>
              <w:rPr>
                <w:rFonts w:ascii="Times New Roman" w:hAnsi="Times New Roman"/>
                <w:color w:val="auto"/>
                <w:sz w:val="24"/>
                <w:szCs w:val="24"/>
                <w:lang w:val="uk-UA"/>
              </w:rPr>
              <w:t>України</w:t>
            </w:r>
            <w:r>
              <w:rPr>
                <w:rFonts w:ascii="Times New Roman" w:hAnsi="Times New Roman"/>
                <w:color w:val="auto"/>
                <w:sz w:val="24"/>
                <w:szCs w:val="24"/>
                <w:lang w:val="uk-UA"/>
              </w:rPr>
              <w:t xml:space="preserve">, збільшення доходу платників податку на </w:t>
            </w:r>
            <w:r>
              <w:rPr>
                <w:rFonts w:ascii="Times New Roman" w:hAnsi="Times New Roman"/>
                <w:color w:val="auto"/>
                <w:sz w:val="24"/>
                <w:szCs w:val="24"/>
                <w:lang w:val="uk-UA"/>
              </w:rPr>
              <w:t>600,126</w:t>
            </w:r>
            <w:r>
              <w:rPr>
                <w:rFonts w:ascii="Times New Roman" w:hAnsi="Times New Roman"/>
                <w:color w:val="auto"/>
                <w:sz w:val="24"/>
                <w:szCs w:val="24"/>
                <w:lang w:val="uk-UA"/>
              </w:rPr>
              <w:t xml:space="preserve"> тис. грн.</w:t>
            </w:r>
          </w:p>
        </w:tc>
        <w:tc>
          <w:tcPr>
            <w:tcW w:w="3534"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Відсутні витрати в частині сплати податку.</w:t>
            </w:r>
            <w:r>
              <w:rPr>
                <w:rFonts w:ascii="Times New Roman" w:hAnsi="Times New Roman"/>
                <w:color w:val="auto"/>
                <w:sz w:val="24"/>
                <w:szCs w:val="24"/>
                <w:lang w:val="uk-UA"/>
              </w:rPr>
              <w:br/>
            </w:r>
          </w:p>
        </w:tc>
      </w:tr>
      <w:tr w:rsidR="00A342B7" w:rsidRPr="00CE623E">
        <w:tc>
          <w:tcPr>
            <w:tcW w:w="2721"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2</w:t>
            </w:r>
          </w:p>
        </w:tc>
        <w:tc>
          <w:tcPr>
            <w:tcW w:w="3372" w:type="dxa"/>
            <w:tcBorders>
              <w:left w:val="single" w:sz="4" w:space="0" w:color="000000"/>
              <w:bottom w:val="single" w:sz="4" w:space="0" w:color="000000"/>
            </w:tcBorders>
            <w:shd w:val="clear" w:color="auto" w:fill="auto"/>
          </w:tcPr>
          <w:p w:rsidR="00A342B7" w:rsidRPr="00CE623E" w:rsidRDefault="00CE623E">
            <w:pPr>
              <w:pStyle w:val="Textbody"/>
              <w:spacing w:after="0" w:line="240" w:lineRule="auto"/>
              <w:rPr>
                <w:rFonts w:ascii="Calibri" w:hAnsi="Calibri" w:cs="Calibri"/>
                <w:color w:val="auto"/>
                <w:lang w:val="ru-RU"/>
              </w:rPr>
            </w:pPr>
            <w:r>
              <w:rPr>
                <w:rFonts w:ascii="Times New Roman" w:hAnsi="Times New Roman"/>
                <w:color w:val="auto"/>
                <w:sz w:val="24"/>
                <w:szCs w:val="24"/>
                <w:lang w:val="uk-UA"/>
              </w:rPr>
              <w:t xml:space="preserve">Альтернатива може бути прийнятною. Прогноз надходження від сплати </w:t>
            </w:r>
            <w:r>
              <w:rPr>
                <w:rFonts w:ascii="Times New Roman" w:hAnsi="Times New Roman" w:cs="Times New Roman"/>
                <w:color w:val="auto"/>
                <w:sz w:val="24"/>
                <w:szCs w:val="24"/>
                <w:lang w:val="uk-UA"/>
              </w:rPr>
              <w:t xml:space="preserve">податку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в тому числі від суб'</w:t>
            </w:r>
            <w:r>
              <w:rPr>
                <w:rFonts w:ascii="Times New Roman" w:hAnsi="Times New Roman" w:cs="Times New Roman"/>
                <w:color w:val="auto"/>
                <w:sz w:val="24"/>
                <w:szCs w:val="24"/>
                <w:lang w:val="uk-UA"/>
              </w:rPr>
              <w:t xml:space="preserve">єктів господарювання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тис. грн.</w:t>
            </w:r>
          </w:p>
        </w:tc>
        <w:tc>
          <w:tcPr>
            <w:tcW w:w="3534"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Прогнозні витрати при сплаті податку із запропонованими ставками становлять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тис. грн.</w:t>
            </w:r>
            <w:r>
              <w:rPr>
                <w:rFonts w:ascii="Times New Roman" w:hAnsi="Times New Roman"/>
                <w:color w:val="auto"/>
                <w:sz w:val="24"/>
                <w:szCs w:val="24"/>
                <w:lang w:val="uk-UA"/>
              </w:rPr>
              <w:br/>
            </w:r>
          </w:p>
        </w:tc>
      </w:tr>
      <w:tr w:rsidR="00A342B7" w:rsidRPr="00CE623E">
        <w:tc>
          <w:tcPr>
            <w:tcW w:w="2721"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3</w:t>
            </w:r>
          </w:p>
        </w:tc>
        <w:tc>
          <w:tcPr>
            <w:tcW w:w="3372" w:type="dxa"/>
            <w:tcBorders>
              <w:left w:val="single" w:sz="4" w:space="0" w:color="000000"/>
              <w:bottom w:val="single" w:sz="4" w:space="0" w:color="000000"/>
            </w:tcBorders>
            <w:shd w:val="clear" w:color="auto" w:fill="auto"/>
          </w:tcPr>
          <w:p w:rsidR="00A342B7" w:rsidRPr="00CE623E" w:rsidRDefault="00CE623E">
            <w:pPr>
              <w:pStyle w:val="Textbody"/>
              <w:spacing w:after="0" w:line="240" w:lineRule="auto"/>
              <w:rPr>
                <w:rFonts w:ascii="Calibri" w:hAnsi="Calibri" w:cs="Calibri"/>
                <w:color w:val="auto"/>
                <w:lang w:val="ru-RU"/>
              </w:rPr>
            </w:pPr>
            <w:r>
              <w:rPr>
                <w:rFonts w:ascii="Times New Roman" w:hAnsi="Times New Roman"/>
                <w:color w:val="auto"/>
                <w:sz w:val="24"/>
                <w:szCs w:val="24"/>
                <w:lang w:val="uk-UA"/>
              </w:rPr>
              <w:t xml:space="preserve">Відсутні в частині сплати </w:t>
            </w:r>
            <w:r>
              <w:rPr>
                <w:rFonts w:ascii="Times New Roman" w:hAnsi="Times New Roman"/>
                <w:color w:val="auto"/>
                <w:sz w:val="24"/>
                <w:szCs w:val="24"/>
                <w:lang w:val="uk-UA"/>
              </w:rPr>
              <w:lastRenderedPageBreak/>
              <w:t>податку</w:t>
            </w:r>
            <w:r>
              <w:rPr>
                <w:rFonts w:ascii="Times New Roman" w:hAnsi="Times New Roman" w:cs="Times New Roman"/>
                <w:color w:val="auto"/>
                <w:sz w:val="24"/>
                <w:szCs w:val="24"/>
                <w:lang w:val="uk-UA"/>
              </w:rPr>
              <w:t>.</w:t>
            </w:r>
          </w:p>
        </w:tc>
        <w:tc>
          <w:tcPr>
            <w:tcW w:w="3534"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cs="Times New Roman"/>
                <w:color w:val="auto"/>
                <w:sz w:val="24"/>
                <w:szCs w:val="24"/>
                <w:lang w:val="uk-UA"/>
              </w:rPr>
            </w:pPr>
            <w:r>
              <w:rPr>
                <w:rFonts w:ascii="Times New Roman" w:hAnsi="Times New Roman"/>
                <w:color w:val="auto"/>
                <w:sz w:val="24"/>
                <w:szCs w:val="24"/>
                <w:lang w:val="uk-UA"/>
              </w:rPr>
              <w:lastRenderedPageBreak/>
              <w:t xml:space="preserve">Сплата податків суб’єктів </w:t>
            </w:r>
            <w:r>
              <w:rPr>
                <w:rFonts w:ascii="Times New Roman" w:hAnsi="Times New Roman"/>
                <w:color w:val="auto"/>
                <w:sz w:val="24"/>
                <w:szCs w:val="24"/>
                <w:lang w:val="uk-UA"/>
              </w:rPr>
              <w:lastRenderedPageBreak/>
              <w:t>господарювання за максимальними ставками (1,5</w:t>
            </w:r>
            <w:r>
              <w:rPr>
                <w:rFonts w:ascii="Times New Roman" w:hAnsi="Times New Roman"/>
                <w:color w:val="auto"/>
                <w:sz w:val="24"/>
                <w:szCs w:val="24"/>
                <w:lang w:val="uk-UA"/>
              </w:rPr>
              <w:t xml:space="preserve">%): прогнозовані витрати на сплату податку на рік </w:t>
            </w:r>
            <w:r>
              <w:rPr>
                <w:rFonts w:ascii="Times New Roman" w:hAnsi="Times New Roman"/>
                <w:color w:val="auto"/>
                <w:sz w:val="24"/>
                <w:szCs w:val="24"/>
                <w:lang w:val="uk-UA"/>
              </w:rPr>
              <w:t>юридичними особами</w:t>
            </w:r>
            <w:r>
              <w:rPr>
                <w:rFonts w:ascii="Times New Roman" w:hAnsi="Times New Roman"/>
                <w:color w:val="auto"/>
                <w:sz w:val="24"/>
                <w:szCs w:val="24"/>
                <w:lang w:val="uk-UA"/>
              </w:rPr>
              <w:t xml:space="preserve"> складе 1776,</w:t>
            </w:r>
            <w:r>
              <w:rPr>
                <w:rFonts w:ascii="Times New Roman" w:hAnsi="Times New Roman"/>
                <w:color w:val="auto"/>
                <w:sz w:val="24"/>
                <w:szCs w:val="24"/>
                <w:lang w:val="uk-UA"/>
              </w:rPr>
              <w:t>49</w:t>
            </w:r>
            <w:r>
              <w:rPr>
                <w:rFonts w:ascii="Times New Roman" w:hAnsi="Times New Roman"/>
                <w:color w:val="auto"/>
                <w:sz w:val="24"/>
                <w:szCs w:val="24"/>
                <w:lang w:val="uk-UA"/>
              </w:rPr>
              <w:t xml:space="preserve"> тис. грн., ФОП </w:t>
            </w:r>
            <w:r>
              <w:rPr>
                <w:rFonts w:ascii="Times New Roman" w:hAnsi="Times New Roman"/>
                <w:color w:val="auto"/>
                <w:sz w:val="24"/>
                <w:szCs w:val="24"/>
                <w:lang w:val="uk-UA"/>
              </w:rPr>
              <w:t xml:space="preserve">– </w:t>
            </w:r>
            <w:r>
              <w:rPr>
                <w:rFonts w:ascii="Times New Roman" w:hAnsi="Times New Roman"/>
                <w:color w:val="auto"/>
                <w:sz w:val="24"/>
                <w:szCs w:val="24"/>
                <w:lang w:val="uk-UA"/>
              </w:rPr>
              <w:t>24,009 тис. грн.</w:t>
            </w:r>
          </w:p>
        </w:tc>
      </w:tr>
    </w:tbl>
    <w:p w:rsidR="00A342B7" w:rsidRDefault="00CE623E">
      <w:pPr>
        <w:pStyle w:val="Textbody"/>
        <w:spacing w:after="0" w:line="240" w:lineRule="auto"/>
        <w:rPr>
          <w:rFonts w:ascii="Times New Roman" w:hAnsi="Times New Roman"/>
          <w:color w:val="auto"/>
          <w:sz w:val="28"/>
          <w:szCs w:val="28"/>
          <w:highlight w:val="white"/>
          <w:lang w:val="uk-UA"/>
        </w:rPr>
      </w:pPr>
      <w:r>
        <w:rPr>
          <w:rFonts w:ascii="Times New Roman" w:hAnsi="Times New Roman"/>
          <w:sz w:val="28"/>
          <w:szCs w:val="28"/>
          <w:shd w:val="clear" w:color="auto" w:fill="FFFFFF"/>
          <w:lang w:val="uk-UA"/>
        </w:rPr>
        <w:lastRenderedPageBreak/>
        <w:t> </w:t>
      </w:r>
    </w:p>
    <w:p w:rsidR="00A342B7" w:rsidRDefault="00CE623E">
      <w:pPr>
        <w:pStyle w:val="Textbody"/>
        <w:spacing w:after="0" w:line="240" w:lineRule="auto"/>
        <w:ind w:firstLine="709"/>
        <w:rPr>
          <w:rFonts w:ascii="Times New Roman" w:hAnsi="Times New Roman"/>
          <w:b/>
          <w:bCs/>
          <w:color w:val="auto"/>
          <w:sz w:val="28"/>
          <w:szCs w:val="28"/>
          <w:highlight w:val="white"/>
          <w:lang w:val="uk-UA"/>
        </w:rPr>
      </w:pPr>
      <w:r>
        <w:rPr>
          <w:rFonts w:ascii="Times New Roman" w:hAnsi="Times New Roman"/>
          <w:b/>
          <w:bCs/>
          <w:sz w:val="28"/>
          <w:szCs w:val="28"/>
          <w:shd w:val="clear" w:color="auto" w:fill="FFFFFF"/>
          <w:lang w:val="uk-UA"/>
        </w:rPr>
        <w:t>Оцінка сумарних витрат за альтернативами</w:t>
      </w:r>
    </w:p>
    <w:tbl>
      <w:tblPr>
        <w:tblW w:w="9627" w:type="dxa"/>
        <w:tblInd w:w="57" w:type="dxa"/>
        <w:tblCellMar>
          <w:top w:w="57" w:type="dxa"/>
          <w:left w:w="57" w:type="dxa"/>
          <w:bottom w:w="57" w:type="dxa"/>
          <w:right w:w="57" w:type="dxa"/>
        </w:tblCellMar>
        <w:tblLook w:val="0000" w:firstRow="0" w:lastRow="0" w:firstColumn="0" w:lastColumn="0" w:noHBand="0" w:noVBand="0"/>
      </w:tblPr>
      <w:tblGrid>
        <w:gridCol w:w="7651"/>
        <w:gridCol w:w="1976"/>
      </w:tblGrid>
      <w:tr w:rsidR="00A342B7">
        <w:tc>
          <w:tcPr>
            <w:tcW w:w="7650"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Сумарні витрати за альтернативами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A342B7" w:rsidRDefault="00CE623E">
            <w:pPr>
              <w:pStyle w:val="af"/>
              <w:spacing w:line="240" w:lineRule="auto"/>
              <w:jc w:val="center"/>
              <w:rPr>
                <w:rFonts w:ascii="Times New Roman" w:hAnsi="Times New Roman"/>
                <w:b/>
                <w:bCs/>
                <w:color w:val="auto"/>
                <w:sz w:val="24"/>
                <w:szCs w:val="24"/>
                <w:lang w:val="uk-UA"/>
              </w:rPr>
            </w:pPr>
            <w:r>
              <w:rPr>
                <w:rFonts w:ascii="Times New Roman" w:hAnsi="Times New Roman"/>
                <w:b/>
                <w:bCs/>
                <w:color w:val="auto"/>
                <w:sz w:val="24"/>
                <w:szCs w:val="24"/>
                <w:lang w:val="uk-UA"/>
              </w:rPr>
              <w:t>Сума витрат, гривень</w:t>
            </w:r>
          </w:p>
        </w:tc>
      </w:tr>
      <w:tr w:rsidR="00A342B7">
        <w:tc>
          <w:tcPr>
            <w:tcW w:w="7650"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1. Ставка податку 0%</w:t>
            </w:r>
          </w:p>
        </w:tc>
        <w:tc>
          <w:tcPr>
            <w:tcW w:w="1976"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jc w:val="right"/>
              <w:rPr>
                <w:rFonts w:ascii="Times New Roman" w:hAnsi="Times New Roman"/>
                <w:color w:val="auto"/>
                <w:sz w:val="24"/>
                <w:szCs w:val="24"/>
                <w:lang w:val="uk-UA"/>
              </w:rPr>
            </w:pPr>
            <w:r>
              <w:rPr>
                <w:rFonts w:ascii="Times New Roman" w:hAnsi="Times New Roman"/>
                <w:color w:val="auto"/>
                <w:sz w:val="24"/>
                <w:szCs w:val="24"/>
                <w:lang w:val="uk-UA"/>
              </w:rPr>
              <w:t>Відсутня</w:t>
            </w:r>
          </w:p>
        </w:tc>
      </w:tr>
      <w:tr w:rsidR="00A342B7">
        <w:tc>
          <w:tcPr>
            <w:tcW w:w="7650"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Альтернатива 2 </w:t>
            </w:r>
          </w:p>
        </w:tc>
        <w:tc>
          <w:tcPr>
            <w:tcW w:w="1976" w:type="dxa"/>
            <w:tcBorders>
              <w:left w:val="single" w:sz="4" w:space="0" w:color="000000"/>
              <w:bottom w:val="single" w:sz="4" w:space="0" w:color="000000"/>
              <w:right w:val="single" w:sz="4" w:space="0" w:color="000000"/>
            </w:tcBorders>
            <w:shd w:val="clear" w:color="auto" w:fill="auto"/>
          </w:tcPr>
          <w:p w:rsidR="00A342B7" w:rsidRDefault="00CE623E">
            <w:pPr>
              <w:jc w:val="right"/>
              <w:rPr>
                <w:rFonts w:ascii="Times New Roman" w:hAnsi="Times New Roman" w:cs="Times New Roman"/>
                <w:sz w:val="24"/>
                <w:szCs w:val="24"/>
              </w:rPr>
            </w:pPr>
            <w:r>
              <w:rPr>
                <w:rFonts w:ascii="Times New Roman" w:hAnsi="Times New Roman" w:cs="Times New Roman"/>
                <w:color w:val="auto"/>
                <w:sz w:val="24"/>
                <w:szCs w:val="24"/>
                <w:lang w:val="uk-UA"/>
              </w:rPr>
              <w:t>600 126,33</w:t>
            </w:r>
          </w:p>
        </w:tc>
      </w:tr>
      <w:tr w:rsidR="00A342B7">
        <w:tc>
          <w:tcPr>
            <w:tcW w:w="7650"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3 Застосовано максимальний розмір ставки податку 1,5%</w:t>
            </w:r>
          </w:p>
        </w:tc>
        <w:tc>
          <w:tcPr>
            <w:tcW w:w="1976" w:type="dxa"/>
            <w:tcBorders>
              <w:left w:val="single" w:sz="4" w:space="0" w:color="000000"/>
              <w:bottom w:val="single" w:sz="4" w:space="0" w:color="000000"/>
              <w:right w:val="single" w:sz="4" w:space="0" w:color="000000"/>
            </w:tcBorders>
            <w:shd w:val="clear" w:color="auto" w:fill="auto"/>
          </w:tcPr>
          <w:p w:rsidR="00A342B7" w:rsidRDefault="00CE623E">
            <w:pPr>
              <w:jc w:val="right"/>
              <w:rPr>
                <w:rFonts w:ascii="Times New Roman" w:hAnsi="Times New Roman" w:cs="Times New Roman"/>
                <w:color w:val="auto"/>
                <w:sz w:val="24"/>
                <w:szCs w:val="24"/>
              </w:rPr>
            </w:pPr>
            <w:r>
              <w:rPr>
                <w:rFonts w:ascii="Times New Roman" w:hAnsi="Times New Roman" w:cs="Times New Roman"/>
                <w:color w:val="auto"/>
                <w:sz w:val="24"/>
                <w:szCs w:val="24"/>
                <w:lang w:val="uk-UA"/>
              </w:rPr>
              <w:t>1 800 499,04</w:t>
            </w:r>
          </w:p>
          <w:p w:rsidR="00A342B7" w:rsidRDefault="00A342B7">
            <w:pPr>
              <w:pStyle w:val="Textbody"/>
              <w:spacing w:after="0" w:line="240" w:lineRule="auto"/>
              <w:jc w:val="right"/>
              <w:rPr>
                <w:rFonts w:ascii="Times New Roman" w:hAnsi="Times New Roman" w:cs="Times New Roman"/>
                <w:color w:val="auto"/>
                <w:sz w:val="24"/>
                <w:szCs w:val="24"/>
                <w:lang w:val="uk-UA"/>
              </w:rPr>
            </w:pPr>
          </w:p>
        </w:tc>
      </w:tr>
    </w:tbl>
    <w:p w:rsidR="00A342B7" w:rsidRDefault="00A342B7">
      <w:pPr>
        <w:pStyle w:val="Textbody"/>
        <w:spacing w:after="0" w:line="240" w:lineRule="auto"/>
        <w:ind w:firstLine="709"/>
        <w:jc w:val="both"/>
        <w:rPr>
          <w:rFonts w:ascii="Times New Roman" w:hAnsi="Times New Roman"/>
          <w:color w:val="auto"/>
          <w:sz w:val="24"/>
          <w:szCs w:val="24"/>
          <w:lang w:val="uk-UA"/>
        </w:rPr>
      </w:pPr>
    </w:p>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IV. Вибір найбільш оптимального альтернативного способу досягнення цілей</w:t>
      </w:r>
    </w:p>
    <w:tbl>
      <w:tblPr>
        <w:tblW w:w="9628" w:type="dxa"/>
        <w:tblInd w:w="57" w:type="dxa"/>
        <w:tblCellMar>
          <w:top w:w="57" w:type="dxa"/>
          <w:left w:w="57" w:type="dxa"/>
          <w:bottom w:w="57" w:type="dxa"/>
          <w:right w:w="57" w:type="dxa"/>
        </w:tblCellMar>
        <w:tblLook w:val="0000" w:firstRow="0" w:lastRow="0" w:firstColumn="0" w:lastColumn="0" w:noHBand="0" w:noVBand="0"/>
      </w:tblPr>
      <w:tblGrid>
        <w:gridCol w:w="2432"/>
        <w:gridCol w:w="3158"/>
        <w:gridCol w:w="4038"/>
      </w:tblGrid>
      <w:tr w:rsidR="00A342B7" w:rsidRPr="00CE623E">
        <w:tc>
          <w:tcPr>
            <w:tcW w:w="2432"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 xml:space="preserve">Рейтинг результативності (досягнення цілей під час вирішення </w:t>
            </w:r>
            <w:r>
              <w:rPr>
                <w:rFonts w:ascii="Times New Roman" w:hAnsi="Times New Roman"/>
                <w:b/>
                <w:bCs/>
                <w:color w:val="auto"/>
                <w:sz w:val="24"/>
                <w:szCs w:val="24"/>
                <w:lang w:val="uk-UA"/>
              </w:rPr>
              <w:t>проблеми)</w:t>
            </w:r>
          </w:p>
        </w:tc>
        <w:tc>
          <w:tcPr>
            <w:tcW w:w="3158"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Бал результативності (за чотирибальною системою оцінки)</w:t>
            </w:r>
          </w:p>
        </w:tc>
        <w:tc>
          <w:tcPr>
            <w:tcW w:w="4038" w:type="dxa"/>
            <w:tcBorders>
              <w:top w:val="single" w:sz="4" w:space="0" w:color="000000"/>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 xml:space="preserve">Коментарі щодо присвоєння відповідного </w:t>
            </w:r>
            <w:proofErr w:type="spellStart"/>
            <w:r>
              <w:rPr>
                <w:rFonts w:ascii="Times New Roman" w:hAnsi="Times New Roman"/>
                <w:b/>
                <w:bCs/>
                <w:color w:val="auto"/>
                <w:sz w:val="24"/>
                <w:szCs w:val="24"/>
                <w:lang w:val="uk-UA"/>
              </w:rPr>
              <w:t>бала</w:t>
            </w:r>
            <w:proofErr w:type="spellEnd"/>
          </w:p>
        </w:tc>
      </w:tr>
      <w:tr w:rsidR="00A342B7" w:rsidRPr="00CE623E">
        <w:tc>
          <w:tcPr>
            <w:tcW w:w="2432"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1</w:t>
            </w:r>
          </w:p>
        </w:tc>
        <w:tc>
          <w:tcPr>
            <w:tcW w:w="3158"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1 - цілі прийняття регуляторного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xml:space="preserve"> не можуть бути досягнуті (проблема продовжує існувати)</w:t>
            </w:r>
          </w:p>
        </w:tc>
        <w:tc>
          <w:tcPr>
            <w:tcW w:w="4038"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sz w:val="24"/>
                <w:szCs w:val="28"/>
                <w:lang w:val="ru-RU"/>
              </w:rPr>
            </w:pPr>
            <w:r>
              <w:rPr>
                <w:rFonts w:ascii="Times New Roman" w:hAnsi="Times New Roman"/>
                <w:color w:val="auto"/>
                <w:sz w:val="24"/>
                <w:szCs w:val="28"/>
                <w:lang w:val="uk-UA"/>
              </w:rPr>
              <w:t xml:space="preserve">У разі неприйняття регуляторного </w:t>
            </w:r>
            <w:proofErr w:type="spellStart"/>
            <w:r>
              <w:rPr>
                <w:rFonts w:ascii="Times New Roman" w:hAnsi="Times New Roman"/>
                <w:color w:val="auto"/>
                <w:sz w:val="24"/>
                <w:szCs w:val="28"/>
                <w:lang w:val="uk-UA"/>
              </w:rPr>
              <w:t>акта</w:t>
            </w:r>
            <w:proofErr w:type="spellEnd"/>
            <w:r>
              <w:rPr>
                <w:rFonts w:ascii="Times New Roman" w:hAnsi="Times New Roman"/>
                <w:color w:val="auto"/>
                <w:sz w:val="24"/>
                <w:szCs w:val="28"/>
                <w:lang w:val="uk-UA"/>
              </w:rPr>
              <w:t xml:space="preserve">, податок справлятиметься по мінімальним ставкам (0%), що спричинить втрати доходної частини бюджету на </w:t>
            </w:r>
            <w:r>
              <w:rPr>
                <w:rFonts w:ascii="Times New Roman" w:hAnsi="Times New Roman" w:cs="Times New Roman"/>
                <w:color w:val="auto"/>
                <w:sz w:val="24"/>
                <w:szCs w:val="24"/>
                <w:lang w:val="uk-UA"/>
              </w:rPr>
              <w:t>604,013</w:t>
            </w:r>
            <w:r>
              <w:rPr>
                <w:rFonts w:ascii="Times New Roman" w:hAnsi="Times New Roman"/>
                <w:color w:val="auto"/>
                <w:sz w:val="24"/>
                <w:szCs w:val="28"/>
                <w:lang w:val="uk-UA"/>
              </w:rPr>
              <w:t xml:space="preserve"> тис. грн. та поставить під загрозу виконання програм соціально-економічного розвитку громади.</w:t>
            </w:r>
          </w:p>
        </w:tc>
      </w:tr>
      <w:tr w:rsidR="00A342B7" w:rsidRPr="00CE623E">
        <w:tc>
          <w:tcPr>
            <w:tcW w:w="2432"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w:t>
            </w:r>
            <w:r>
              <w:rPr>
                <w:rFonts w:ascii="Times New Roman" w:hAnsi="Times New Roman"/>
                <w:color w:val="auto"/>
                <w:sz w:val="24"/>
                <w:szCs w:val="24"/>
                <w:lang w:val="uk-UA"/>
              </w:rPr>
              <w:t xml:space="preserve"> 2</w:t>
            </w:r>
          </w:p>
        </w:tc>
        <w:tc>
          <w:tcPr>
            <w:tcW w:w="3158"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4 - цілі прийняття регуляторного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xml:space="preserve"> можуть бути досягнуті повною мірою (проблема більше існувати не буде)</w:t>
            </w:r>
          </w:p>
        </w:tc>
        <w:tc>
          <w:tcPr>
            <w:tcW w:w="4038" w:type="dxa"/>
            <w:tcBorders>
              <w:left w:val="single" w:sz="4" w:space="0" w:color="000000"/>
              <w:bottom w:val="single" w:sz="4" w:space="0" w:color="000000"/>
              <w:right w:val="single" w:sz="4" w:space="0" w:color="000000"/>
            </w:tcBorders>
            <w:shd w:val="clear" w:color="auto" w:fill="auto"/>
          </w:tcPr>
          <w:p w:rsidR="00A342B7" w:rsidRDefault="00CE623E">
            <w:pPr>
              <w:pStyle w:val="Textbody"/>
              <w:spacing w:after="0" w:line="240" w:lineRule="auto"/>
              <w:rPr>
                <w:rFonts w:ascii="Times New Roman" w:hAnsi="Times New Roman"/>
                <w:sz w:val="24"/>
                <w:szCs w:val="28"/>
                <w:lang w:val="ru-RU"/>
              </w:rPr>
            </w:pPr>
            <w:r>
              <w:rPr>
                <w:rFonts w:ascii="Times New Roman" w:hAnsi="Times New Roman"/>
                <w:color w:val="auto"/>
                <w:sz w:val="24"/>
                <w:szCs w:val="28"/>
                <w:lang w:val="uk-UA"/>
              </w:rPr>
              <w:t>Цей регуляторний акт відповідає потребам у розв'язанні визначеної проблеми та принципам державної регуляторної політики.</w:t>
            </w:r>
            <w:r>
              <w:rPr>
                <w:rFonts w:ascii="Times New Roman" w:hAnsi="Times New Roman"/>
                <w:color w:val="auto"/>
                <w:sz w:val="24"/>
                <w:szCs w:val="28"/>
                <w:lang w:val="uk-UA"/>
              </w:rPr>
              <w:br/>
              <w:t>Цілі прийняття проекту р</w:t>
            </w:r>
            <w:r>
              <w:rPr>
                <w:rFonts w:ascii="Times New Roman" w:hAnsi="Times New Roman"/>
                <w:color w:val="auto"/>
                <w:sz w:val="24"/>
                <w:szCs w:val="28"/>
                <w:lang w:val="uk-UA"/>
              </w:rPr>
              <w:t>ішення про встановлення податку на нерухоме майно, відмінне від земельної ділянки на 2021 рік поступово будуть досягнуті у повній мірі.</w:t>
            </w:r>
          </w:p>
          <w:p w:rsidR="00A342B7" w:rsidRDefault="00CE623E">
            <w:pPr>
              <w:pStyle w:val="Textbody"/>
              <w:spacing w:after="0" w:line="240" w:lineRule="auto"/>
              <w:rPr>
                <w:rFonts w:ascii="Times New Roman" w:hAnsi="Times New Roman"/>
                <w:sz w:val="24"/>
                <w:szCs w:val="28"/>
                <w:lang w:val="ru-RU"/>
              </w:rPr>
            </w:pPr>
            <w:r>
              <w:rPr>
                <w:rFonts w:ascii="Times New Roman" w:hAnsi="Times New Roman"/>
                <w:color w:val="auto"/>
                <w:sz w:val="24"/>
                <w:szCs w:val="28"/>
                <w:lang w:val="uk-UA"/>
              </w:rPr>
              <w:t>Ставка податку залишиться на рівні поточного року, що не призведе до погіршення умов ведення бізнесу.</w:t>
            </w:r>
          </w:p>
          <w:p w:rsidR="00A342B7" w:rsidRPr="00CE623E" w:rsidRDefault="00CE623E">
            <w:pPr>
              <w:pStyle w:val="Textbody"/>
              <w:spacing w:after="0" w:line="240" w:lineRule="auto"/>
              <w:rPr>
                <w:rFonts w:ascii="Calibri" w:hAnsi="Calibri" w:cs="Calibri"/>
                <w:color w:val="auto"/>
                <w:lang w:val="ru-RU"/>
              </w:rPr>
            </w:pPr>
            <w:r>
              <w:rPr>
                <w:rFonts w:ascii="Times New Roman" w:hAnsi="Times New Roman"/>
                <w:color w:val="auto"/>
                <w:sz w:val="24"/>
                <w:szCs w:val="24"/>
                <w:lang w:val="uk-UA"/>
              </w:rPr>
              <w:t>Прогнозні надходже</w:t>
            </w:r>
            <w:r>
              <w:rPr>
                <w:rFonts w:ascii="Times New Roman" w:hAnsi="Times New Roman"/>
                <w:color w:val="auto"/>
                <w:sz w:val="24"/>
                <w:szCs w:val="24"/>
                <w:lang w:val="uk-UA"/>
              </w:rPr>
              <w:t xml:space="preserve">ння від </w:t>
            </w:r>
            <w:r>
              <w:rPr>
                <w:rFonts w:ascii="Times New Roman" w:hAnsi="Times New Roman" w:cs="Times New Roman"/>
                <w:color w:val="auto"/>
                <w:sz w:val="24"/>
                <w:szCs w:val="24"/>
                <w:lang w:val="uk-UA"/>
              </w:rPr>
              <w:t xml:space="preserve">запропонованого регулювання в сумі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(в </w:t>
            </w:r>
            <w:proofErr w:type="spellStart"/>
            <w:r>
              <w:rPr>
                <w:rFonts w:ascii="Times New Roman" w:hAnsi="Times New Roman" w:cs="Times New Roman"/>
                <w:color w:val="auto"/>
                <w:sz w:val="24"/>
                <w:szCs w:val="24"/>
                <w:lang w:val="uk-UA"/>
              </w:rPr>
              <w:t>т.ч</w:t>
            </w:r>
            <w:proofErr w:type="spellEnd"/>
            <w:r>
              <w:rPr>
                <w:rFonts w:ascii="Times New Roman" w:hAnsi="Times New Roman" w:cs="Times New Roman"/>
                <w:color w:val="auto"/>
                <w:sz w:val="24"/>
                <w:szCs w:val="24"/>
                <w:lang w:val="uk-UA"/>
              </w:rPr>
              <w:t xml:space="preserve">. СПД –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тис. грн.). Це забезпечить фінансування програм соціально-економічного розвитку сільської ради.</w:t>
            </w:r>
          </w:p>
        </w:tc>
      </w:tr>
      <w:tr w:rsidR="00A342B7" w:rsidRPr="00CE623E">
        <w:tc>
          <w:tcPr>
            <w:tcW w:w="2432"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3</w:t>
            </w:r>
          </w:p>
        </w:tc>
        <w:tc>
          <w:tcPr>
            <w:tcW w:w="3158" w:type="dxa"/>
            <w:tcBorders>
              <w:left w:val="single" w:sz="4" w:space="0" w:color="000000"/>
              <w:bottom w:val="single" w:sz="4" w:space="0" w:color="000000"/>
            </w:tcBorders>
            <w:shd w:val="clear" w:color="auto" w:fill="auto"/>
          </w:tcPr>
          <w:p w:rsidR="00A342B7" w:rsidRDefault="00CE623E">
            <w:pPr>
              <w:pStyle w:val="Textbody"/>
              <w:spacing w:after="0"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2 - цілі прийняття </w:t>
            </w:r>
            <w:r>
              <w:rPr>
                <w:rFonts w:ascii="Times New Roman" w:hAnsi="Times New Roman"/>
                <w:color w:val="auto"/>
                <w:sz w:val="24"/>
                <w:szCs w:val="24"/>
                <w:lang w:val="uk-UA"/>
              </w:rPr>
              <w:lastRenderedPageBreak/>
              <w:t xml:space="preserve">регуляторного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xml:space="preserve"> можуть бути досягнуті ч</w:t>
            </w:r>
            <w:r>
              <w:rPr>
                <w:rFonts w:ascii="Times New Roman" w:hAnsi="Times New Roman"/>
                <w:color w:val="auto"/>
                <w:sz w:val="24"/>
                <w:szCs w:val="24"/>
                <w:lang w:val="uk-UA"/>
              </w:rPr>
              <w:t>астково (проблема значно зменшиться, деякі важливі та критичні аспекти проблеми залишаться невирішеними)</w:t>
            </w:r>
          </w:p>
        </w:tc>
        <w:tc>
          <w:tcPr>
            <w:tcW w:w="4038" w:type="dxa"/>
            <w:tcBorders>
              <w:left w:val="single" w:sz="4" w:space="0" w:color="000000"/>
              <w:bottom w:val="single" w:sz="4" w:space="0" w:color="000000"/>
              <w:right w:val="single" w:sz="4" w:space="0" w:color="000000"/>
            </w:tcBorders>
            <w:shd w:val="clear" w:color="auto" w:fill="auto"/>
          </w:tcPr>
          <w:p w:rsidR="00A342B7" w:rsidRPr="00CE623E" w:rsidRDefault="00CE623E">
            <w:pPr>
              <w:pStyle w:val="Textbody"/>
              <w:spacing w:after="0" w:line="240" w:lineRule="auto"/>
              <w:rPr>
                <w:rFonts w:ascii="Calibri" w:hAnsi="Calibri" w:cs="Calibri"/>
                <w:i/>
                <w:iCs/>
                <w:color w:val="auto"/>
                <w:lang w:val="ru-RU"/>
              </w:rPr>
            </w:pPr>
            <w:r>
              <w:rPr>
                <w:rFonts w:ascii="Times New Roman" w:hAnsi="Times New Roman"/>
                <w:color w:val="auto"/>
                <w:sz w:val="24"/>
                <w:szCs w:val="24"/>
                <w:lang w:val="uk-UA"/>
              </w:rPr>
              <w:lastRenderedPageBreak/>
              <w:t xml:space="preserve">Збільшується податкове </w:t>
            </w:r>
            <w:r>
              <w:rPr>
                <w:rFonts w:ascii="Times New Roman" w:hAnsi="Times New Roman"/>
                <w:color w:val="auto"/>
                <w:sz w:val="24"/>
                <w:szCs w:val="24"/>
                <w:lang w:val="uk-UA"/>
              </w:rPr>
              <w:lastRenderedPageBreak/>
              <w:t>навантаження до громадян та суб'єктів господарювання (14 осіб) у зв'язку із збільшенням розміру ставок на нерухоме майно, відмін</w:t>
            </w:r>
            <w:r>
              <w:rPr>
                <w:rFonts w:ascii="Times New Roman" w:hAnsi="Times New Roman"/>
                <w:color w:val="auto"/>
                <w:sz w:val="24"/>
                <w:szCs w:val="24"/>
                <w:lang w:val="uk-UA"/>
              </w:rPr>
              <w:t xml:space="preserve">не від земельної ділянки. Прогнозні надходження до місцевого бюджету </w:t>
            </w:r>
            <w:r>
              <w:rPr>
                <w:rFonts w:ascii="Times New Roman" w:hAnsi="Times New Roman" w:cs="Times New Roman"/>
                <w:color w:val="auto"/>
                <w:sz w:val="24"/>
                <w:szCs w:val="24"/>
                <w:lang w:val="uk-UA"/>
              </w:rPr>
              <w:t xml:space="preserve">складатимуть </w:t>
            </w:r>
            <w:r>
              <w:rPr>
                <w:rFonts w:ascii="Times New Roman" w:hAnsi="Times New Roman" w:cs="Times New Roman"/>
                <w:iCs/>
                <w:color w:val="auto"/>
                <w:sz w:val="24"/>
                <w:szCs w:val="24"/>
                <w:lang w:val="uk-UA"/>
              </w:rPr>
              <w:t>1</w:t>
            </w:r>
            <w:r w:rsidRPr="00CE623E">
              <w:rPr>
                <w:rFonts w:ascii="Times New Roman" w:hAnsi="Times New Roman"/>
                <w:color w:val="auto"/>
                <w:sz w:val="24"/>
                <w:szCs w:val="24"/>
                <w:lang w:val="ru-RU"/>
              </w:rPr>
              <w:t>81</w:t>
            </w:r>
            <w:r w:rsidRPr="00CE623E">
              <w:rPr>
                <w:rFonts w:ascii="Times New Roman" w:hAnsi="Times New Roman"/>
                <w:color w:val="auto"/>
                <w:sz w:val="24"/>
                <w:szCs w:val="24"/>
                <w:lang w:val="ru-RU"/>
              </w:rPr>
              <w:t>2</w:t>
            </w:r>
            <w:r w:rsidRPr="00CE623E">
              <w:rPr>
                <w:rFonts w:ascii="Times New Roman" w:hAnsi="Times New Roman"/>
                <w:color w:val="auto"/>
                <w:sz w:val="24"/>
                <w:szCs w:val="24"/>
                <w:lang w:val="ru-RU"/>
              </w:rPr>
              <w:t>,160</w:t>
            </w:r>
          </w:p>
          <w:p w:rsidR="00A342B7" w:rsidRPr="00CE623E" w:rsidRDefault="00CE623E">
            <w:pPr>
              <w:pStyle w:val="Textbody"/>
              <w:spacing w:after="0" w:line="240" w:lineRule="auto"/>
              <w:rPr>
                <w:rFonts w:ascii="Calibri" w:hAnsi="Calibri" w:cs="Calibri"/>
                <w:i/>
                <w:iCs/>
                <w:color w:val="auto"/>
                <w:lang w:val="ru-RU"/>
              </w:rPr>
            </w:pPr>
            <w:r>
              <w:rPr>
                <w:rFonts w:ascii="Times New Roman" w:hAnsi="Times New Roman" w:cs="Times New Roman"/>
                <w:iCs/>
                <w:color w:val="auto"/>
                <w:sz w:val="24"/>
                <w:szCs w:val="24"/>
                <w:lang w:val="uk-UA"/>
              </w:rPr>
              <w:t xml:space="preserve"> </w:t>
            </w:r>
            <w:r>
              <w:rPr>
                <w:rFonts w:ascii="Times New Roman" w:hAnsi="Times New Roman" w:cs="Times New Roman"/>
                <w:color w:val="auto"/>
                <w:sz w:val="24"/>
                <w:szCs w:val="24"/>
                <w:lang w:val="uk-UA"/>
              </w:rPr>
              <w:t>тис</w:t>
            </w:r>
            <w:r>
              <w:rPr>
                <w:rFonts w:ascii="Times New Roman" w:hAnsi="Times New Roman"/>
                <w:color w:val="auto"/>
                <w:sz w:val="24"/>
                <w:szCs w:val="24"/>
                <w:lang w:val="uk-UA"/>
              </w:rPr>
              <w:t xml:space="preserve">. грн. (в </w:t>
            </w:r>
            <w:proofErr w:type="spellStart"/>
            <w:r>
              <w:rPr>
                <w:rFonts w:ascii="Times New Roman" w:hAnsi="Times New Roman"/>
                <w:color w:val="auto"/>
                <w:sz w:val="24"/>
                <w:szCs w:val="24"/>
                <w:lang w:val="uk-UA"/>
              </w:rPr>
              <w:t>т.ч</w:t>
            </w:r>
            <w:proofErr w:type="spellEnd"/>
            <w:r>
              <w:rPr>
                <w:rFonts w:ascii="Times New Roman" w:hAnsi="Times New Roman"/>
                <w:color w:val="auto"/>
                <w:sz w:val="24"/>
                <w:szCs w:val="24"/>
                <w:lang w:val="uk-UA"/>
              </w:rPr>
              <w:t xml:space="preserve">. СПД </w:t>
            </w:r>
            <w:r>
              <w:rPr>
                <w:rFonts w:ascii="Times New Roman" w:hAnsi="Times New Roman"/>
                <w:color w:val="auto"/>
                <w:sz w:val="24"/>
                <w:szCs w:val="24"/>
                <w:lang w:val="uk-UA"/>
              </w:rPr>
              <w:t xml:space="preserve">– </w:t>
            </w:r>
            <w:r>
              <w:rPr>
                <w:rFonts w:ascii="Times New Roman" w:hAnsi="Times New Roman" w:cs="Times New Roman"/>
                <w:color w:val="auto"/>
                <w:sz w:val="24"/>
                <w:szCs w:val="24"/>
                <w:lang w:val="uk-UA"/>
              </w:rPr>
              <w:t>1</w:t>
            </w:r>
            <w:r w:rsidRPr="00CE623E">
              <w:rPr>
                <w:rFonts w:ascii="Times New Roman" w:hAnsi="Times New Roman"/>
                <w:color w:val="auto"/>
                <w:sz w:val="24"/>
                <w:szCs w:val="24"/>
                <w:lang w:val="ru-RU"/>
              </w:rPr>
              <w:t>800,499</w:t>
            </w:r>
          </w:p>
          <w:p w:rsidR="00A342B7" w:rsidRPr="00CE623E" w:rsidRDefault="00CE623E">
            <w:pPr>
              <w:pStyle w:val="Textbody"/>
              <w:spacing w:after="0" w:line="240" w:lineRule="auto"/>
              <w:rPr>
                <w:rFonts w:ascii="Calibri" w:hAnsi="Calibri" w:cs="Calibri"/>
                <w:i/>
                <w:iCs/>
                <w:color w:val="auto"/>
                <w:lang w:val="uk-UA"/>
              </w:rPr>
            </w:pP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 xml:space="preserve">тис. грн.). Надмірне податкове навантаження на суб'єктів господарювання знівелює вигоди від значного збільшення дохідної частини </w:t>
            </w:r>
            <w:r>
              <w:rPr>
                <w:rFonts w:ascii="Times New Roman" w:hAnsi="Times New Roman"/>
                <w:color w:val="auto"/>
                <w:sz w:val="24"/>
                <w:szCs w:val="24"/>
                <w:lang w:val="uk-UA"/>
              </w:rPr>
              <w:t xml:space="preserve">місцевого бюджету, і як наслідок виникне зворотній ефект в результаті якого </w:t>
            </w:r>
            <w:proofErr w:type="spellStart"/>
            <w:r>
              <w:rPr>
                <w:rFonts w:ascii="Times New Roman" w:hAnsi="Times New Roman"/>
                <w:color w:val="auto"/>
                <w:sz w:val="24"/>
                <w:szCs w:val="24"/>
                <w:lang w:val="uk-UA"/>
              </w:rPr>
              <w:t>зменшаться</w:t>
            </w:r>
            <w:proofErr w:type="spellEnd"/>
            <w:r>
              <w:rPr>
                <w:rFonts w:ascii="Times New Roman" w:hAnsi="Times New Roman"/>
                <w:color w:val="auto"/>
                <w:sz w:val="24"/>
                <w:szCs w:val="24"/>
                <w:lang w:val="uk-UA"/>
              </w:rPr>
              <w:t xml:space="preserve"> надходження до місцевого бюджету. Балансу інтересів досягнуто не буде</w:t>
            </w:r>
          </w:p>
        </w:tc>
      </w:tr>
    </w:tbl>
    <w:p w:rsidR="00A342B7" w:rsidRDefault="00A342B7">
      <w:pPr>
        <w:pStyle w:val="Textbody"/>
        <w:spacing w:after="0" w:line="240" w:lineRule="auto"/>
        <w:rPr>
          <w:rFonts w:ascii="Times New Roman" w:hAnsi="Times New Roman"/>
          <w:color w:val="auto"/>
          <w:sz w:val="28"/>
          <w:szCs w:val="28"/>
          <w:lang w:val="uk-UA"/>
        </w:rPr>
      </w:pPr>
    </w:p>
    <w:tbl>
      <w:tblPr>
        <w:tblW w:w="9626" w:type="dxa"/>
        <w:tblInd w:w="57" w:type="dxa"/>
        <w:tblCellMar>
          <w:top w:w="57" w:type="dxa"/>
          <w:left w:w="57" w:type="dxa"/>
          <w:bottom w:w="57" w:type="dxa"/>
          <w:right w:w="57" w:type="dxa"/>
        </w:tblCellMar>
        <w:tblLook w:val="0000" w:firstRow="0" w:lastRow="0" w:firstColumn="0" w:lastColumn="0" w:noHBand="0" w:noVBand="0"/>
      </w:tblPr>
      <w:tblGrid>
        <w:gridCol w:w="1997"/>
        <w:gridCol w:w="2579"/>
        <w:gridCol w:w="2734"/>
        <w:gridCol w:w="2316"/>
      </w:tblGrid>
      <w:tr w:rsidR="00A342B7" w:rsidRPr="00CE623E">
        <w:tc>
          <w:tcPr>
            <w:tcW w:w="1996"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Рейтинг результативності</w:t>
            </w:r>
          </w:p>
        </w:tc>
        <w:tc>
          <w:tcPr>
            <w:tcW w:w="2579"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Вигоди (підсумок)</w:t>
            </w:r>
          </w:p>
        </w:tc>
        <w:tc>
          <w:tcPr>
            <w:tcW w:w="2734"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Витрати (підсумок)</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Обґрунтування відповідного місця </w:t>
            </w:r>
            <w:r>
              <w:rPr>
                <w:rFonts w:ascii="Times New Roman" w:hAnsi="Times New Roman" w:cs="Times New Roman"/>
                <w:b/>
                <w:bCs/>
                <w:color w:val="auto"/>
                <w:sz w:val="24"/>
                <w:szCs w:val="24"/>
                <w:lang w:val="uk-UA"/>
              </w:rPr>
              <w:t>альтернативи у рейтингу</w:t>
            </w:r>
          </w:p>
        </w:tc>
      </w:tr>
      <w:tr w:rsidR="00A342B7" w:rsidRPr="00CE623E">
        <w:tc>
          <w:tcPr>
            <w:tcW w:w="1996"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Альтернатива 2</w:t>
            </w:r>
          </w:p>
        </w:tc>
        <w:tc>
          <w:tcPr>
            <w:tcW w:w="2579"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Держава:</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Забезпечує досягнення цілей державного регулювання.</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Враховує пропозиції фізичних та юридичних осіб, які прийняли участь в обговорені проекту рішення.</w:t>
            </w:r>
            <w:r>
              <w:rPr>
                <w:rFonts w:ascii="Times New Roman" w:hAnsi="Times New Roman" w:cs="Times New Roman"/>
                <w:color w:val="auto"/>
                <w:sz w:val="24"/>
                <w:szCs w:val="24"/>
                <w:lang w:val="uk-UA"/>
              </w:rPr>
              <w:br/>
              <w:t xml:space="preserve">Забезпечує сталість надходжень до місцевого бюджету без </w:t>
            </w:r>
            <w:r>
              <w:rPr>
                <w:rFonts w:ascii="Times New Roman" w:hAnsi="Times New Roman" w:cs="Times New Roman"/>
                <w:color w:val="auto"/>
                <w:sz w:val="24"/>
                <w:szCs w:val="24"/>
                <w:lang w:val="uk-UA"/>
              </w:rPr>
              <w:t>погіршення умов для розвитку мікробізнесу, а також належне фінансування програм соціально-економічного розвитку сільської ради.</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Громадяни:</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Альтернатива може бути прийнятною.</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Прогноз надходження від сплати податку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що дасть можливість заб</w:t>
            </w:r>
            <w:r>
              <w:rPr>
                <w:rFonts w:ascii="Times New Roman" w:hAnsi="Times New Roman" w:cs="Times New Roman"/>
                <w:color w:val="auto"/>
                <w:sz w:val="24"/>
                <w:szCs w:val="24"/>
                <w:lang w:val="uk-UA"/>
              </w:rPr>
              <w:t xml:space="preserve">езпечити сталість надходжень до місцевого бюджету без </w:t>
            </w:r>
            <w:r>
              <w:rPr>
                <w:rFonts w:ascii="Times New Roman" w:hAnsi="Times New Roman" w:cs="Times New Roman"/>
                <w:color w:val="auto"/>
                <w:sz w:val="24"/>
                <w:szCs w:val="24"/>
                <w:lang w:val="uk-UA"/>
              </w:rPr>
              <w:lastRenderedPageBreak/>
              <w:t>погіршення умов для розвитку мікробізнесу, а також належне фінансування програм соціально-економічного розвитку сільської ради.</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Суб'єкти 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Альтернатива може бути прийнятною. Прогноз надхо</w:t>
            </w:r>
            <w:r>
              <w:rPr>
                <w:rFonts w:ascii="Times New Roman" w:hAnsi="Times New Roman" w:cs="Times New Roman"/>
                <w:color w:val="auto"/>
                <w:sz w:val="24"/>
                <w:szCs w:val="24"/>
                <w:lang w:val="uk-UA"/>
              </w:rPr>
              <w:t xml:space="preserve">дження від сплати податку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в тому числі від суб'єктів господарювання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тис. грн., що забезпечить сталість надходжень до місцевого бюджету без погіршення умов для розвитку мікробізнесу, а також належне фінансування програм соціально-</w:t>
            </w:r>
            <w:r>
              <w:rPr>
                <w:rFonts w:ascii="Times New Roman" w:hAnsi="Times New Roman" w:cs="Times New Roman"/>
                <w:color w:val="auto"/>
                <w:sz w:val="24"/>
                <w:szCs w:val="24"/>
                <w:lang w:val="uk-UA"/>
              </w:rPr>
              <w:t>економічного розвитку сільської ради.</w:t>
            </w:r>
          </w:p>
        </w:tc>
        <w:tc>
          <w:tcPr>
            <w:tcW w:w="2734"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lastRenderedPageBreak/>
              <w:t>Держава:</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Витрати часу та матеріальних ресурсів для фіскальних органів на адміністрування податку на нерухоме майно, відмінне від земельної ділянки</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Громадяни:</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За 1 км. м нерухомості, що перебуває у власності громадян, сплачується податок в розмірі </w:t>
            </w:r>
            <w:r>
              <w:rPr>
                <w:rFonts w:ascii="Times New Roman" w:hAnsi="Times New Roman" w:cs="Times New Roman"/>
                <w:color w:val="auto"/>
                <w:sz w:val="24"/>
                <w:szCs w:val="24"/>
                <w:lang w:val="uk-UA"/>
              </w:rPr>
              <w:t>25,02</w:t>
            </w:r>
            <w:r>
              <w:rPr>
                <w:rFonts w:ascii="Times New Roman" w:hAnsi="Times New Roman" w:cs="Times New Roman"/>
                <w:color w:val="auto"/>
                <w:sz w:val="24"/>
                <w:szCs w:val="24"/>
                <w:lang w:val="uk-UA"/>
              </w:rPr>
              <w:t xml:space="preserve"> грн. при ставці 0,5%</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Суб'єкти 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Витрати на сплату даного податку суб'єктами господарювання, які підпадають під дію регулювання.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Прогнозні витрати </w:t>
            </w:r>
            <w:r>
              <w:rPr>
                <w:rFonts w:ascii="Times New Roman" w:hAnsi="Times New Roman" w:cs="Times New Roman"/>
                <w:color w:val="auto"/>
                <w:sz w:val="24"/>
                <w:szCs w:val="24"/>
                <w:lang w:val="uk-UA"/>
              </w:rPr>
              <w:t xml:space="preserve">при сплаті податку для суб'єктів господарювання становлять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тис. грн.</w:t>
            </w:r>
          </w:p>
        </w:tc>
        <w:tc>
          <w:tcPr>
            <w:tcW w:w="2316" w:type="dxa"/>
            <w:tcBorders>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Цілі ухвалення регуляторного </w:t>
            </w:r>
            <w:proofErr w:type="spellStart"/>
            <w:r>
              <w:rPr>
                <w:rFonts w:ascii="Times New Roman" w:hAnsi="Times New Roman" w:cs="Times New Roman"/>
                <w:color w:val="auto"/>
                <w:sz w:val="24"/>
                <w:szCs w:val="24"/>
                <w:lang w:val="uk-UA"/>
              </w:rPr>
              <w:t>акта</w:t>
            </w:r>
            <w:proofErr w:type="spellEnd"/>
            <w:r>
              <w:rPr>
                <w:rFonts w:ascii="Times New Roman" w:hAnsi="Times New Roman" w:cs="Times New Roman"/>
                <w:color w:val="auto"/>
                <w:sz w:val="24"/>
                <w:szCs w:val="24"/>
                <w:lang w:val="uk-UA"/>
              </w:rPr>
              <w:t xml:space="preserve"> будуть досягнуті повною мірою. Ставки податку на нерухоме майно, відмінне від земельної ділянки установлюються з повним дотриманням вимог Податко</w:t>
            </w:r>
            <w:r>
              <w:rPr>
                <w:rFonts w:ascii="Times New Roman" w:hAnsi="Times New Roman" w:cs="Times New Roman"/>
                <w:color w:val="auto"/>
                <w:sz w:val="24"/>
                <w:szCs w:val="24"/>
                <w:lang w:val="uk-UA"/>
              </w:rPr>
              <w:t xml:space="preserve">вого кодексу. Прогнозні надходження від запропонованого регулювання в сумі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 в </w:t>
            </w:r>
            <w:proofErr w:type="spellStart"/>
            <w:r>
              <w:rPr>
                <w:rFonts w:ascii="Times New Roman" w:hAnsi="Times New Roman" w:cs="Times New Roman"/>
                <w:color w:val="auto"/>
                <w:sz w:val="24"/>
                <w:szCs w:val="24"/>
                <w:lang w:val="uk-UA"/>
              </w:rPr>
              <w:t>т.ч</w:t>
            </w:r>
            <w:proofErr w:type="spellEnd"/>
            <w:r>
              <w:rPr>
                <w:rFonts w:ascii="Times New Roman" w:hAnsi="Times New Roman" w:cs="Times New Roman"/>
                <w:color w:val="auto"/>
                <w:sz w:val="24"/>
                <w:szCs w:val="24"/>
                <w:lang w:val="uk-UA"/>
              </w:rPr>
              <w:t xml:space="preserve">. СПД –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тис. грн.), що забезпечить фінансування програм соціально-економічного розвитку сільської ради.</w:t>
            </w:r>
          </w:p>
        </w:tc>
      </w:tr>
      <w:tr w:rsidR="00A342B7" w:rsidRPr="00CE623E">
        <w:tc>
          <w:tcPr>
            <w:tcW w:w="1996"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Альтернатива 3</w:t>
            </w:r>
          </w:p>
        </w:tc>
        <w:tc>
          <w:tcPr>
            <w:tcW w:w="2579"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Держава:</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Прийняття нормативного </w:t>
            </w:r>
            <w:proofErr w:type="spellStart"/>
            <w:r>
              <w:rPr>
                <w:rFonts w:ascii="Times New Roman" w:hAnsi="Times New Roman" w:cs="Times New Roman"/>
                <w:color w:val="auto"/>
                <w:sz w:val="24"/>
                <w:szCs w:val="24"/>
                <w:lang w:val="uk-UA"/>
              </w:rPr>
              <w:t>акта</w:t>
            </w:r>
            <w:proofErr w:type="spellEnd"/>
            <w:r>
              <w:rPr>
                <w:rFonts w:ascii="Times New Roman" w:hAnsi="Times New Roman" w:cs="Times New Roman"/>
                <w:color w:val="auto"/>
                <w:sz w:val="24"/>
                <w:szCs w:val="24"/>
                <w:lang w:val="uk-UA"/>
              </w:rPr>
              <w:t xml:space="preserve"> з урахуванням вимог Податкового кодексу. Збільшення надходжень до бюджету сільської ради від сплати податку на нерухоме майно, відмінне від земельної ділянки, які можливо направити для забезпечення фінансування соціально важливи</w:t>
            </w:r>
            <w:r>
              <w:rPr>
                <w:rFonts w:ascii="Times New Roman" w:hAnsi="Times New Roman" w:cs="Times New Roman"/>
                <w:color w:val="auto"/>
                <w:sz w:val="24"/>
                <w:szCs w:val="24"/>
                <w:lang w:val="uk-UA"/>
              </w:rPr>
              <w:t xml:space="preserve">х програми. Прогнозні надходженні до бюджету на 2021 рік від суб’єктів СПД – </w:t>
            </w:r>
            <w:r>
              <w:rPr>
                <w:rFonts w:ascii="Times New Roman" w:hAnsi="Times New Roman" w:cs="Times New Roman"/>
                <w:color w:val="auto"/>
                <w:sz w:val="24"/>
                <w:szCs w:val="24"/>
                <w:lang w:val="uk-UA"/>
              </w:rPr>
              <w:t>1800,499</w:t>
            </w:r>
            <w:r>
              <w:rPr>
                <w:rFonts w:ascii="Times New Roman" w:hAnsi="Times New Roman" w:cs="Times New Roman"/>
                <w:iCs/>
                <w:color w:val="auto"/>
                <w:sz w:val="24"/>
                <w:szCs w:val="24"/>
                <w:lang w:val="uk-UA"/>
              </w:rPr>
              <w:t xml:space="preserve"> </w:t>
            </w:r>
            <w:r>
              <w:rPr>
                <w:rFonts w:ascii="Times New Roman" w:hAnsi="Times New Roman" w:cs="Times New Roman"/>
                <w:color w:val="auto"/>
                <w:sz w:val="24"/>
                <w:szCs w:val="24"/>
                <w:lang w:val="uk-UA"/>
              </w:rPr>
              <w:t>тис. грн.</w:t>
            </w:r>
            <w:r w:rsidRPr="00CE623E">
              <w:rPr>
                <w:rFonts w:ascii="Times New Roman" w:hAnsi="Times New Roman" w:cs="Times New Roman"/>
                <w:color w:val="auto"/>
                <w:sz w:val="24"/>
                <w:szCs w:val="24"/>
                <w:lang w:val="ru-RU"/>
              </w:rPr>
              <w:t>‬</w:t>
            </w:r>
          </w:p>
          <w:p w:rsidR="00A342B7" w:rsidRDefault="00A342B7">
            <w:pPr>
              <w:pStyle w:val="af"/>
              <w:spacing w:line="240" w:lineRule="auto"/>
              <w:rPr>
                <w:rFonts w:ascii="Times New Roman" w:hAnsi="Times New Roman" w:cs="Times New Roman"/>
                <w:b/>
                <w:bCs/>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Громадяни:</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При прогнозованому надходженні до місцевого бюджету </w:t>
            </w:r>
            <w:r>
              <w:rPr>
                <w:rFonts w:ascii="Times New Roman" w:hAnsi="Times New Roman" w:cs="Times New Roman"/>
                <w:color w:val="auto"/>
                <w:sz w:val="24"/>
                <w:szCs w:val="24"/>
                <w:lang w:val="uk-UA"/>
              </w:rPr>
              <w:lastRenderedPageBreak/>
              <w:t>1812,16</w:t>
            </w:r>
            <w:r>
              <w:rPr>
                <w:rFonts w:ascii="Times New Roman" w:hAnsi="Times New Roman" w:cs="Times New Roman"/>
                <w:iCs/>
                <w:color w:val="auto"/>
                <w:sz w:val="24"/>
                <w:szCs w:val="24"/>
                <w:lang w:val="uk-UA"/>
              </w:rPr>
              <w:t xml:space="preserve"> </w:t>
            </w:r>
            <w:r>
              <w:rPr>
                <w:rFonts w:ascii="Times New Roman" w:hAnsi="Times New Roman" w:cs="Times New Roman"/>
                <w:color w:val="auto"/>
                <w:sz w:val="24"/>
                <w:szCs w:val="24"/>
                <w:lang w:val="uk-UA"/>
              </w:rPr>
              <w:t>тис. грн. є можливість збільшення видатків на фінансування соціально важливих програм.</w:t>
            </w:r>
          </w:p>
          <w:p w:rsidR="00A342B7" w:rsidRDefault="00CE623E">
            <w:pPr>
              <w:pStyle w:val="af"/>
              <w:spacing w:line="240" w:lineRule="auto"/>
              <w:rPr>
                <w:rFonts w:ascii="Times New Roman" w:hAnsi="Times New Roman" w:cs="Times New Roman"/>
                <w:color w:val="auto"/>
                <w:sz w:val="24"/>
                <w:szCs w:val="24"/>
                <w:lang w:val="uk-UA"/>
              </w:rPr>
            </w:pPr>
            <w:r w:rsidRPr="00CE623E">
              <w:rPr>
                <w:rFonts w:ascii="Times New Roman" w:hAnsi="Times New Roman" w:cs="Times New Roman"/>
                <w:color w:val="auto"/>
                <w:sz w:val="24"/>
                <w:szCs w:val="24"/>
                <w:lang w:val="ru-RU"/>
              </w:rPr>
              <w:t>‬</w:t>
            </w: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Суб'єкти 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Відсутні в частині сплати податку, оскільки збільшується податкове навантаження, розмір ставок податку. Але, при цьому є можливість збільшення видатків для фінансування соціальних програм сільської ради.</w:t>
            </w:r>
          </w:p>
          <w:p w:rsidR="00A342B7" w:rsidRPr="00CE623E" w:rsidRDefault="00CE623E">
            <w:pPr>
              <w:pStyle w:val="af"/>
              <w:spacing w:line="240" w:lineRule="auto"/>
              <w:rPr>
                <w:rFonts w:ascii="Calibri" w:hAnsi="Calibri" w:cs="Calibri"/>
                <w:color w:val="auto"/>
                <w:lang w:val="ru-RU"/>
              </w:rPr>
            </w:pPr>
            <w:r>
              <w:rPr>
                <w:rFonts w:ascii="Times New Roman" w:hAnsi="Times New Roman" w:cs="Times New Roman"/>
                <w:color w:val="auto"/>
                <w:sz w:val="24"/>
                <w:szCs w:val="24"/>
                <w:lang w:val="uk-UA"/>
              </w:rPr>
              <w:t xml:space="preserve">Прогнозовані надходження до місцевого бюджету від сплати податку становлять </w:t>
            </w:r>
            <w:r>
              <w:rPr>
                <w:rFonts w:ascii="Times New Roman" w:hAnsi="Times New Roman" w:cs="Times New Roman"/>
                <w:iCs/>
                <w:color w:val="auto"/>
                <w:sz w:val="24"/>
                <w:szCs w:val="24"/>
                <w:lang w:val="uk-UA"/>
              </w:rPr>
              <w:t>1812,16</w:t>
            </w:r>
            <w:r>
              <w:rPr>
                <w:rFonts w:ascii="Times New Roman" w:hAnsi="Times New Roman" w:cs="Times New Roman"/>
                <w:iCs/>
                <w:color w:val="auto"/>
                <w:sz w:val="24"/>
                <w:szCs w:val="24"/>
                <w:lang w:val="uk-UA"/>
              </w:rPr>
              <w:t xml:space="preserve"> </w:t>
            </w:r>
            <w:r>
              <w:rPr>
                <w:rFonts w:ascii="Times New Roman" w:hAnsi="Times New Roman" w:cs="Times New Roman"/>
                <w:color w:val="auto"/>
                <w:sz w:val="24"/>
                <w:szCs w:val="24"/>
                <w:lang w:val="uk-UA"/>
              </w:rPr>
              <w:t xml:space="preserve">тис. грн., в тому числі від суб'єктів господарювання </w:t>
            </w:r>
            <w:r>
              <w:rPr>
                <w:rFonts w:ascii="Times New Roman" w:hAnsi="Times New Roman" w:cs="Times New Roman"/>
                <w:color w:val="auto"/>
                <w:sz w:val="24"/>
                <w:szCs w:val="24"/>
                <w:lang w:val="uk-UA"/>
              </w:rPr>
              <w:t>1800,499</w:t>
            </w:r>
            <w:r>
              <w:rPr>
                <w:rFonts w:ascii="Times New Roman" w:hAnsi="Times New Roman" w:cs="Times New Roman"/>
                <w:color w:val="auto"/>
                <w:sz w:val="24"/>
                <w:szCs w:val="24"/>
                <w:lang w:val="uk-UA"/>
              </w:rPr>
              <w:t xml:space="preserve"> тис. грн.</w:t>
            </w:r>
          </w:p>
        </w:tc>
        <w:tc>
          <w:tcPr>
            <w:tcW w:w="2734"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lastRenderedPageBreak/>
              <w:t>Держава:</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Витрати часу, матеріальних ресурсів для фіскальних органів на адміністрування податку на не</w:t>
            </w:r>
            <w:r>
              <w:rPr>
                <w:rFonts w:ascii="Times New Roman" w:hAnsi="Times New Roman" w:cs="Times New Roman"/>
                <w:color w:val="auto"/>
                <w:sz w:val="24"/>
                <w:szCs w:val="24"/>
                <w:lang w:val="uk-UA"/>
              </w:rPr>
              <w:t>рухоме майно, відмінне від земельної ділянки</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Громадяни:</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Витрати платників податку на його сплату за максимальн</w:t>
            </w:r>
            <w:r>
              <w:rPr>
                <w:rFonts w:ascii="Times New Roman" w:hAnsi="Times New Roman" w:cs="Times New Roman"/>
                <w:color w:val="auto"/>
                <w:sz w:val="24"/>
                <w:szCs w:val="24"/>
                <w:lang w:val="uk-UA"/>
              </w:rPr>
              <w:t xml:space="preserve">им </w:t>
            </w:r>
            <w:r>
              <w:rPr>
                <w:rFonts w:ascii="Times New Roman" w:hAnsi="Times New Roman" w:cs="Times New Roman"/>
                <w:color w:val="auto"/>
                <w:sz w:val="24"/>
                <w:szCs w:val="24"/>
                <w:lang w:val="uk-UA"/>
              </w:rPr>
              <w:t xml:space="preserve">розміром ставки 1,5% за 1 </w:t>
            </w:r>
            <w:proofErr w:type="spellStart"/>
            <w:r>
              <w:rPr>
                <w:rFonts w:ascii="Times New Roman" w:hAnsi="Times New Roman" w:cs="Times New Roman"/>
                <w:color w:val="auto"/>
                <w:sz w:val="24"/>
                <w:szCs w:val="24"/>
                <w:lang w:val="uk-UA"/>
              </w:rPr>
              <w:t>кв</w:t>
            </w:r>
            <w:proofErr w:type="spellEnd"/>
            <w:r>
              <w:rPr>
                <w:rFonts w:ascii="Times New Roman" w:hAnsi="Times New Roman" w:cs="Times New Roman"/>
                <w:color w:val="auto"/>
                <w:sz w:val="24"/>
                <w:szCs w:val="24"/>
                <w:lang w:val="uk-UA"/>
              </w:rPr>
              <w:t>. м. житлової/нежитлової нерухомості, що перебуває у власності юридичних та фізичних осіб, сплачується податок у с</w:t>
            </w:r>
            <w:r>
              <w:rPr>
                <w:rFonts w:ascii="Times New Roman" w:hAnsi="Times New Roman" w:cs="Times New Roman"/>
                <w:color w:val="auto"/>
                <w:sz w:val="24"/>
                <w:szCs w:val="24"/>
                <w:lang w:val="uk-UA"/>
              </w:rPr>
              <w:t xml:space="preserve">умі </w:t>
            </w:r>
            <w:r>
              <w:rPr>
                <w:rFonts w:ascii="Times New Roman" w:hAnsi="Times New Roman" w:cs="Times New Roman"/>
                <w:color w:val="auto"/>
                <w:sz w:val="24"/>
                <w:szCs w:val="24"/>
                <w:lang w:val="uk-UA"/>
              </w:rPr>
              <w:t>75,05</w:t>
            </w:r>
            <w:r>
              <w:rPr>
                <w:rFonts w:ascii="Times New Roman" w:hAnsi="Times New Roman" w:cs="Times New Roman"/>
                <w:color w:val="auto"/>
                <w:sz w:val="24"/>
                <w:szCs w:val="24"/>
                <w:lang w:val="uk-UA"/>
              </w:rPr>
              <w:t xml:space="preserve"> грн., що в середньому більше на 53</w:t>
            </w:r>
            <w:r>
              <w:rPr>
                <w:rFonts w:ascii="Times New Roman" w:hAnsi="Times New Roman" w:cs="Times New Roman"/>
                <w:color w:val="auto"/>
                <w:sz w:val="24"/>
                <w:szCs w:val="24"/>
                <w:lang w:val="uk-UA"/>
              </w:rPr>
              <w:t>,01</w:t>
            </w:r>
            <w:r>
              <w:rPr>
                <w:rFonts w:ascii="Times New Roman" w:hAnsi="Times New Roman" w:cs="Times New Roman"/>
                <w:color w:val="auto"/>
                <w:sz w:val="24"/>
                <w:szCs w:val="24"/>
                <w:lang w:val="uk-UA"/>
              </w:rPr>
              <w:t xml:space="preserve"> грн. у порівнянні з 2020 роком</w:t>
            </w:r>
          </w:p>
          <w:p w:rsidR="00A342B7" w:rsidRDefault="00A342B7">
            <w:pPr>
              <w:pStyle w:val="af"/>
              <w:spacing w:line="240" w:lineRule="auto"/>
              <w:rPr>
                <w:rFonts w:ascii="Times New Roman" w:hAnsi="Times New Roman" w:cs="Times New Roman"/>
                <w:b/>
                <w:bCs/>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Суб'єкти </w:t>
            </w:r>
            <w:r>
              <w:rPr>
                <w:rFonts w:ascii="Times New Roman" w:hAnsi="Times New Roman" w:cs="Times New Roman"/>
                <w:b/>
                <w:bCs/>
                <w:color w:val="auto"/>
                <w:sz w:val="24"/>
                <w:szCs w:val="24"/>
                <w:lang w:val="uk-UA"/>
              </w:rPr>
              <w:lastRenderedPageBreak/>
              <w:t>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Часові витрати на отримання інформації щодо змін у оподаткуванні, прямі матеріальні витрати на сплату податку суб'єктами господарювання. Юридичні особи</w:t>
            </w:r>
            <w:r>
              <w:rPr>
                <w:rFonts w:ascii="Times New Roman" w:hAnsi="Times New Roman" w:cs="Times New Roman"/>
                <w:color w:val="auto"/>
                <w:sz w:val="24"/>
                <w:szCs w:val="24"/>
                <w:lang w:val="uk-UA"/>
              </w:rPr>
              <w:t xml:space="preserve"> (11 осіб) та ФОП (2 особи) порівняно з 2020 роком будуть у середньому сплачувати за 1 </w:t>
            </w:r>
            <w:proofErr w:type="spellStart"/>
            <w:r>
              <w:rPr>
                <w:rFonts w:ascii="Times New Roman" w:hAnsi="Times New Roman" w:cs="Times New Roman"/>
                <w:color w:val="auto"/>
                <w:sz w:val="24"/>
                <w:szCs w:val="24"/>
                <w:lang w:val="uk-UA"/>
              </w:rPr>
              <w:t>кв</w:t>
            </w:r>
            <w:proofErr w:type="spellEnd"/>
            <w:r>
              <w:rPr>
                <w:rFonts w:ascii="Times New Roman" w:hAnsi="Times New Roman" w:cs="Times New Roman"/>
                <w:color w:val="auto"/>
                <w:sz w:val="24"/>
                <w:szCs w:val="24"/>
                <w:lang w:val="uk-UA"/>
              </w:rPr>
              <w:t>. м. житлової/нежитлової нерухомості більше на 53</w:t>
            </w:r>
            <w:r>
              <w:rPr>
                <w:rFonts w:ascii="Times New Roman" w:hAnsi="Times New Roman" w:cs="Times New Roman"/>
                <w:color w:val="auto"/>
                <w:sz w:val="24"/>
                <w:szCs w:val="24"/>
                <w:lang w:val="uk-UA"/>
              </w:rPr>
              <w:t>,01</w:t>
            </w:r>
            <w:r>
              <w:rPr>
                <w:rFonts w:ascii="Times New Roman" w:hAnsi="Times New Roman" w:cs="Times New Roman"/>
                <w:color w:val="auto"/>
                <w:sz w:val="24"/>
                <w:szCs w:val="24"/>
                <w:lang w:val="uk-UA"/>
              </w:rPr>
              <w:t xml:space="preserve"> грн. Прогнозовані витрати на сплату податку юридичними особами складе </w:t>
            </w:r>
            <w:r>
              <w:rPr>
                <w:rFonts w:ascii="Times New Roman" w:hAnsi="Times New Roman" w:cs="Times New Roman"/>
                <w:color w:val="auto"/>
                <w:sz w:val="24"/>
                <w:szCs w:val="24"/>
                <w:lang w:val="uk-UA"/>
              </w:rPr>
              <w:t>1</w:t>
            </w:r>
            <w:r w:rsidRPr="00CE623E">
              <w:rPr>
                <w:rFonts w:ascii="Times New Roman" w:hAnsi="Times New Roman"/>
                <w:color w:val="auto"/>
                <w:sz w:val="24"/>
                <w:szCs w:val="24"/>
                <w:lang w:val="ru-RU"/>
              </w:rPr>
              <w:t>776,489</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 тис. грн., ФОП — </w:t>
            </w:r>
            <w:r>
              <w:rPr>
                <w:rFonts w:ascii="Times New Roman" w:hAnsi="Times New Roman" w:cs="Times New Roman"/>
                <w:color w:val="auto"/>
                <w:sz w:val="24"/>
                <w:szCs w:val="24"/>
                <w:lang w:val="uk-UA"/>
              </w:rPr>
              <w:t>24,</w:t>
            </w:r>
            <w:r w:rsidRPr="00CE623E">
              <w:rPr>
                <w:rFonts w:ascii="Times New Roman" w:hAnsi="Times New Roman"/>
                <w:color w:val="auto"/>
                <w:sz w:val="24"/>
                <w:szCs w:val="24"/>
                <w:lang w:val="ru-RU"/>
              </w:rPr>
              <w:t>00</w:t>
            </w:r>
            <w:r>
              <w:rPr>
                <w:rFonts w:ascii="Times New Roman" w:hAnsi="Times New Roman" w:cs="Times New Roman"/>
                <w:color w:val="auto"/>
                <w:sz w:val="24"/>
                <w:szCs w:val="24"/>
                <w:lang w:val="uk-UA"/>
              </w:rPr>
              <w:t>9</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 тис. грн.</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 </w:t>
            </w:r>
          </w:p>
        </w:tc>
        <w:tc>
          <w:tcPr>
            <w:tcW w:w="2316" w:type="dxa"/>
            <w:tcBorders>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 xml:space="preserve">Збільшується податкове навантаження до громадян та суб'єктів господарювання (14 осіб) у зв'язку з збільшенням розміру ставок на нерухоме майно, відмінне від земельної ділянки. Прогнозні надходження до місцевого бюджету складатимуть </w:t>
            </w:r>
            <w:r>
              <w:rPr>
                <w:rFonts w:ascii="Times New Roman" w:hAnsi="Times New Roman" w:cs="Times New Roman"/>
                <w:iCs/>
                <w:color w:val="auto"/>
                <w:sz w:val="24"/>
                <w:szCs w:val="24"/>
                <w:lang w:val="uk-UA"/>
              </w:rPr>
              <w:t>1</w:t>
            </w:r>
            <w:r>
              <w:rPr>
                <w:rFonts w:ascii="Times New Roman" w:hAnsi="Times New Roman" w:cs="Times New Roman"/>
                <w:color w:val="auto"/>
                <w:sz w:val="24"/>
                <w:szCs w:val="24"/>
                <w:lang w:val="uk-UA"/>
              </w:rPr>
              <w:t>812,16</w:t>
            </w:r>
            <w:r>
              <w:rPr>
                <w:rFonts w:ascii="Times New Roman" w:hAnsi="Times New Roman" w:cs="Times New Roman"/>
                <w:iCs/>
                <w:color w:val="auto"/>
                <w:sz w:val="24"/>
                <w:szCs w:val="24"/>
                <w:lang w:val="uk-UA"/>
              </w:rPr>
              <w:t xml:space="preserve"> </w:t>
            </w:r>
            <w:r>
              <w:rPr>
                <w:rFonts w:ascii="Times New Roman" w:hAnsi="Times New Roman" w:cs="Times New Roman"/>
                <w:color w:val="auto"/>
                <w:sz w:val="24"/>
                <w:szCs w:val="24"/>
                <w:lang w:val="uk-UA"/>
              </w:rPr>
              <w:t xml:space="preserve">тис. грн. (в </w:t>
            </w:r>
            <w:proofErr w:type="spellStart"/>
            <w:r>
              <w:rPr>
                <w:rFonts w:ascii="Times New Roman" w:hAnsi="Times New Roman" w:cs="Times New Roman"/>
                <w:color w:val="auto"/>
                <w:sz w:val="24"/>
                <w:szCs w:val="24"/>
                <w:lang w:val="uk-UA"/>
              </w:rPr>
              <w:t>т.ч</w:t>
            </w:r>
            <w:proofErr w:type="spellEnd"/>
            <w:r>
              <w:rPr>
                <w:rFonts w:ascii="Times New Roman" w:hAnsi="Times New Roman" w:cs="Times New Roman"/>
                <w:color w:val="auto"/>
                <w:sz w:val="24"/>
                <w:szCs w:val="24"/>
                <w:lang w:val="uk-UA"/>
              </w:rPr>
              <w:t xml:space="preserve"> СПД — </w:t>
            </w:r>
            <w:r>
              <w:rPr>
                <w:rFonts w:ascii="Times New Roman" w:hAnsi="Times New Roman" w:cs="Times New Roman"/>
                <w:color w:val="auto"/>
                <w:sz w:val="24"/>
                <w:szCs w:val="24"/>
                <w:lang w:val="uk-UA"/>
              </w:rPr>
              <w:t>1800,499</w:t>
            </w:r>
            <w:r>
              <w:rPr>
                <w:rFonts w:ascii="Times New Roman" w:hAnsi="Times New Roman" w:cs="Times New Roman"/>
                <w:color w:val="auto"/>
                <w:sz w:val="24"/>
                <w:szCs w:val="24"/>
                <w:lang w:val="uk-UA"/>
              </w:rPr>
              <w:t xml:space="preserve"> тис. грн.) збільшення видатків для фінансування програм соціально-економічного розвитку сільської ради</w:t>
            </w:r>
          </w:p>
        </w:tc>
      </w:tr>
      <w:tr w:rsidR="00A342B7" w:rsidRPr="00CE623E">
        <w:tc>
          <w:tcPr>
            <w:tcW w:w="1996"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Альтернатива 1</w:t>
            </w:r>
          </w:p>
        </w:tc>
        <w:tc>
          <w:tcPr>
            <w:tcW w:w="2579"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Держава:</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Можливо, покращиться інвестиційна привабливість території через мінімальні ставки податку на </w:t>
            </w:r>
            <w:r>
              <w:rPr>
                <w:rFonts w:ascii="Times New Roman" w:hAnsi="Times New Roman" w:cs="Times New Roman"/>
                <w:color w:val="auto"/>
                <w:sz w:val="24"/>
                <w:szCs w:val="24"/>
                <w:lang w:val="uk-UA"/>
              </w:rPr>
              <w:t>нерухоме майно</w:t>
            </w: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Громадяни:</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Через відсутність регулювання, оскільки на законодавчому рівні не визначено розмір мінімальної ставки, громадяни не сплачують податок на нерухоме майно, відмінне від земельної ділянки.</w:t>
            </w: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Суб'єкти 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Унеможливлюється обр</w:t>
            </w:r>
            <w:r>
              <w:rPr>
                <w:rFonts w:ascii="Times New Roman" w:hAnsi="Times New Roman" w:cs="Times New Roman"/>
                <w:color w:val="auto"/>
                <w:sz w:val="24"/>
                <w:szCs w:val="24"/>
                <w:lang w:val="uk-UA"/>
              </w:rPr>
              <w:t xml:space="preserve">ахування та сплата податку. Оскільки на законодавчому рівні не </w:t>
            </w:r>
            <w:r>
              <w:rPr>
                <w:rFonts w:ascii="Times New Roman" w:hAnsi="Times New Roman" w:cs="Times New Roman"/>
                <w:color w:val="auto"/>
                <w:sz w:val="24"/>
                <w:szCs w:val="24"/>
                <w:lang w:val="uk-UA"/>
              </w:rPr>
              <w:lastRenderedPageBreak/>
              <w:t>визначено розмір мінімальної ставки. Через відсутність регулювання, яким визначаються розміри ставок податку на 2021 рік, вигоду отримують 13 суб'єктів 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Призведе до збільшення до</w:t>
            </w:r>
            <w:r>
              <w:rPr>
                <w:rFonts w:ascii="Times New Roman" w:hAnsi="Times New Roman" w:cs="Times New Roman"/>
                <w:color w:val="auto"/>
                <w:sz w:val="24"/>
                <w:szCs w:val="24"/>
                <w:lang w:val="uk-UA"/>
              </w:rPr>
              <w:t>ходів платників податку, покращиться інвестиційна привабливість об'єктів нерухомості.</w:t>
            </w:r>
          </w:p>
        </w:tc>
        <w:tc>
          <w:tcPr>
            <w:tcW w:w="2734"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lastRenderedPageBreak/>
              <w:t>Держава:</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Відповідно до ст. 12 Податкового кодексу України, податок справлятиметься із застосуванням мінімальної ставки податку 0%, що призведе до втрат доходів місцевого </w:t>
            </w:r>
            <w:r>
              <w:rPr>
                <w:rFonts w:ascii="Times New Roman" w:hAnsi="Times New Roman" w:cs="Times New Roman"/>
                <w:color w:val="auto"/>
                <w:sz w:val="24"/>
                <w:szCs w:val="24"/>
                <w:lang w:val="uk-UA"/>
              </w:rPr>
              <w:t xml:space="preserve">бюджету та неналежного фінансування програм соціально-економічного розвитку сільської ради. Наслідком є недоотримання місцевим бюджетом надходжень на прогнозованому рівні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Громадяни:</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Витрати відсутні для громадян у частині плати податку </w:t>
            </w:r>
            <w:r>
              <w:rPr>
                <w:rFonts w:ascii="Times New Roman" w:hAnsi="Times New Roman" w:cs="Times New Roman"/>
                <w:color w:val="auto"/>
                <w:sz w:val="24"/>
                <w:szCs w:val="24"/>
                <w:lang w:val="uk-UA"/>
              </w:rPr>
              <w:t xml:space="preserve">однак, </w:t>
            </w:r>
            <w:r>
              <w:rPr>
                <w:rFonts w:ascii="Times New Roman" w:hAnsi="Times New Roman" w:cs="Times New Roman"/>
                <w:color w:val="auto"/>
                <w:sz w:val="24"/>
                <w:szCs w:val="24"/>
                <w:lang w:val="uk-UA"/>
              </w:rPr>
              <w:lastRenderedPageBreak/>
              <w:t>відсутність можливості додаткового наповнення доходної частині бюджету сільської ради, та відповідно збільшення його видаткової частини для фінансування соціально важливих програм.</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Бюджет сільської ради недоотримає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w:t>
            </w:r>
          </w:p>
          <w:p w:rsidR="00A342B7" w:rsidRDefault="00A342B7">
            <w:pPr>
              <w:pStyle w:val="af"/>
              <w:spacing w:line="240" w:lineRule="auto"/>
              <w:rPr>
                <w:rFonts w:ascii="Times New Roman" w:hAnsi="Times New Roman" w:cs="Times New Roman"/>
                <w:color w:val="auto"/>
                <w:sz w:val="24"/>
                <w:szCs w:val="24"/>
                <w:lang w:val="uk-UA"/>
              </w:rPr>
            </w:pPr>
          </w:p>
          <w:p w:rsidR="00A342B7" w:rsidRDefault="00CE623E">
            <w:pPr>
              <w:pStyle w:val="af"/>
              <w:spacing w:line="240" w:lineRule="auto"/>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Суб'єкти </w:t>
            </w:r>
            <w:r>
              <w:rPr>
                <w:rFonts w:ascii="Times New Roman" w:hAnsi="Times New Roman" w:cs="Times New Roman"/>
                <w:b/>
                <w:bCs/>
                <w:color w:val="auto"/>
                <w:sz w:val="24"/>
                <w:szCs w:val="24"/>
                <w:lang w:val="uk-UA"/>
              </w:rPr>
              <w:t>господарювання:</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Відсутні витрати в частині сплати податку. У зв'язку з чим відсутність можливості додаткового наповнення доходної частині бюджету сільської ради, та відповідно збільшення його видаткової частини для фінансування соціально важливих програм. </w:t>
            </w:r>
            <w:r>
              <w:rPr>
                <w:rFonts w:ascii="Times New Roman" w:hAnsi="Times New Roman" w:cs="Times New Roman"/>
                <w:color w:val="auto"/>
                <w:sz w:val="24"/>
                <w:szCs w:val="24"/>
                <w:lang w:val="uk-UA"/>
              </w:rPr>
              <w:t xml:space="preserve">Бюджет сільської ради недоотримає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w:t>
            </w:r>
          </w:p>
        </w:tc>
        <w:tc>
          <w:tcPr>
            <w:tcW w:w="2316" w:type="dxa"/>
            <w:tcBorders>
              <w:left w:val="single" w:sz="4" w:space="0" w:color="000000"/>
              <w:bottom w:val="single" w:sz="4" w:space="0" w:color="000000"/>
              <w:right w:val="single" w:sz="4" w:space="0" w:color="000000"/>
            </w:tcBorders>
            <w:shd w:val="clear" w:color="auto" w:fill="auto"/>
          </w:tcPr>
          <w:p w:rsidR="00A342B7" w:rsidRDefault="00CE623E">
            <w:pPr>
              <w:rPr>
                <w:rFonts w:ascii="Times New Roman" w:hAnsi="Times New Roman" w:cs="Times New Roman"/>
                <w:color w:val="auto"/>
                <w:sz w:val="24"/>
                <w:szCs w:val="24"/>
                <w:lang w:val="uk-UA"/>
              </w:rPr>
            </w:pPr>
            <w:r>
              <w:rPr>
                <w:rFonts w:ascii="Times New Roman" w:hAnsi="Times New Roman"/>
                <w:color w:val="auto"/>
                <w:sz w:val="24"/>
                <w:szCs w:val="24"/>
                <w:lang w:val="uk-UA"/>
              </w:rPr>
              <w:lastRenderedPageBreak/>
              <w:t>Податок справлятиметься із застосуванням мінімальної ставки податку 0%, відповідно не нараховується та не сплачується податок.</w:t>
            </w:r>
          </w:p>
          <w:p w:rsidR="00A342B7" w:rsidRDefault="00CE623E">
            <w:pPr>
              <w:pStyle w:val="af"/>
              <w:spacing w:line="240" w:lineRule="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Наслідком є</w:t>
            </w:r>
            <w:r>
              <w:rPr>
                <w:rFonts w:ascii="Times New Roman" w:hAnsi="Times New Roman" w:cs="Times New Roman"/>
                <w:color w:val="auto"/>
                <w:sz w:val="24"/>
                <w:szCs w:val="24"/>
                <w:lang w:val="uk-UA"/>
              </w:rPr>
              <w:t xml:space="preserve"> недоотримання надходжень до місцевого бюджету коштів на прогнозо</w:t>
            </w:r>
            <w:r>
              <w:rPr>
                <w:rFonts w:ascii="Times New Roman" w:hAnsi="Times New Roman" w:cs="Times New Roman"/>
                <w:color w:val="auto"/>
                <w:sz w:val="24"/>
                <w:szCs w:val="24"/>
                <w:lang w:val="uk-UA"/>
              </w:rPr>
              <w:t xml:space="preserve">ваному рівні в розмірі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тис., грн., що обмежить фінансування першочергових видатків, які мають тенденцію до збільшення. Це пов'язано зі </w:t>
            </w:r>
            <w:r>
              <w:rPr>
                <w:rFonts w:ascii="Times New Roman" w:hAnsi="Times New Roman" w:cs="Times New Roman"/>
                <w:color w:val="auto"/>
                <w:sz w:val="24"/>
                <w:szCs w:val="24"/>
                <w:lang w:val="uk-UA"/>
              </w:rPr>
              <w:lastRenderedPageBreak/>
              <w:t xml:space="preserve">зростанням заробітної плати працівників бюджетної сфери, підвищенням тарифів на електроенергію тощо. Відсутність </w:t>
            </w:r>
            <w:r>
              <w:rPr>
                <w:rFonts w:ascii="Times New Roman" w:hAnsi="Times New Roman" w:cs="Times New Roman"/>
                <w:color w:val="auto"/>
                <w:sz w:val="24"/>
                <w:szCs w:val="24"/>
                <w:lang w:val="uk-UA"/>
              </w:rPr>
              <w:t>надходжень до бюджету призведе до втрат доходів місцевого бюджету та неналежного фінансування програм соціально-економічного розвитку сільської ради.</w:t>
            </w:r>
          </w:p>
        </w:tc>
      </w:tr>
    </w:tbl>
    <w:p w:rsidR="00A342B7" w:rsidRDefault="00A342B7">
      <w:pPr>
        <w:pStyle w:val="Textbody"/>
        <w:spacing w:after="0" w:line="240" w:lineRule="auto"/>
        <w:rPr>
          <w:rFonts w:ascii="Times New Roman" w:hAnsi="Times New Roman"/>
          <w:color w:val="auto"/>
          <w:sz w:val="28"/>
          <w:szCs w:val="28"/>
          <w:lang w:val="uk-UA"/>
        </w:rPr>
      </w:pPr>
    </w:p>
    <w:tbl>
      <w:tblPr>
        <w:tblW w:w="9626" w:type="dxa"/>
        <w:tblInd w:w="57" w:type="dxa"/>
        <w:tblCellMar>
          <w:top w:w="57" w:type="dxa"/>
          <w:left w:w="57" w:type="dxa"/>
          <w:bottom w:w="57" w:type="dxa"/>
          <w:right w:w="57" w:type="dxa"/>
        </w:tblCellMar>
        <w:tblLook w:val="0000" w:firstRow="0" w:lastRow="0" w:firstColumn="0" w:lastColumn="0" w:noHBand="0" w:noVBand="0"/>
      </w:tblPr>
      <w:tblGrid>
        <w:gridCol w:w="2799"/>
        <w:gridCol w:w="3841"/>
        <w:gridCol w:w="2986"/>
      </w:tblGrid>
      <w:tr w:rsidR="00A342B7" w:rsidRPr="00CE623E">
        <w:tc>
          <w:tcPr>
            <w:tcW w:w="2799"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Рейтинг</w:t>
            </w:r>
          </w:p>
        </w:tc>
        <w:tc>
          <w:tcPr>
            <w:tcW w:w="3841" w:type="dxa"/>
            <w:tcBorders>
              <w:top w:val="single" w:sz="4" w:space="0" w:color="000000"/>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Аргументи щодо переваги обраної альтернативи/причини відмови від альтернативи</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 xml:space="preserve">Оцінка ризику </w:t>
            </w:r>
            <w:r>
              <w:rPr>
                <w:rFonts w:ascii="Times New Roman" w:hAnsi="Times New Roman"/>
                <w:b/>
                <w:bCs/>
                <w:color w:val="auto"/>
                <w:sz w:val="24"/>
                <w:szCs w:val="24"/>
                <w:lang w:val="uk-UA"/>
              </w:rPr>
              <w:t xml:space="preserve">зовнішніх чинників на дію запропонованого регуляторного </w:t>
            </w:r>
            <w:proofErr w:type="spellStart"/>
            <w:r>
              <w:rPr>
                <w:rFonts w:ascii="Times New Roman" w:hAnsi="Times New Roman"/>
                <w:b/>
                <w:bCs/>
                <w:color w:val="auto"/>
                <w:sz w:val="24"/>
                <w:szCs w:val="24"/>
                <w:lang w:val="uk-UA"/>
              </w:rPr>
              <w:t>акта</w:t>
            </w:r>
            <w:proofErr w:type="spellEnd"/>
          </w:p>
        </w:tc>
      </w:tr>
      <w:tr w:rsidR="00A342B7">
        <w:tc>
          <w:tcPr>
            <w:tcW w:w="2799"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Альтернатива 2 (прийняття регуляторного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положення якого узгоджується з Податковим Кодексом України)</w:t>
            </w:r>
          </w:p>
        </w:tc>
        <w:tc>
          <w:tcPr>
            <w:tcW w:w="3841"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може бути прийнятною. Цей регуляторний акт відповідає потребам у розв'</w:t>
            </w:r>
            <w:r>
              <w:rPr>
                <w:rFonts w:ascii="Times New Roman" w:hAnsi="Times New Roman"/>
                <w:color w:val="auto"/>
                <w:sz w:val="24"/>
                <w:szCs w:val="24"/>
                <w:lang w:val="uk-UA"/>
              </w:rPr>
              <w:t xml:space="preserve">язанні визначеної проблеми та принципам державної регуляторної політики. Затвердження такого регуляторного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xml:space="preserve"> забезпечить поступове досягнення встановлених цілей.</w:t>
            </w:r>
            <w:r>
              <w:rPr>
                <w:rFonts w:ascii="Times New Roman" w:hAnsi="Times New Roman"/>
                <w:color w:val="auto"/>
                <w:sz w:val="24"/>
                <w:szCs w:val="24"/>
                <w:lang w:val="uk-UA"/>
              </w:rPr>
              <w:br/>
              <w:t xml:space="preserve">Отримання додаткових надходжень до місцевого бюджету на рівні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 xml:space="preserve">тис. грн. (в </w:t>
            </w:r>
            <w:proofErr w:type="spellStart"/>
            <w:r>
              <w:rPr>
                <w:rFonts w:ascii="Times New Roman" w:hAnsi="Times New Roman"/>
                <w:color w:val="auto"/>
                <w:sz w:val="24"/>
                <w:szCs w:val="24"/>
                <w:lang w:val="uk-UA"/>
              </w:rPr>
              <w:t>т.ч</w:t>
            </w:r>
            <w:proofErr w:type="spellEnd"/>
            <w:r>
              <w:rPr>
                <w:rFonts w:ascii="Times New Roman" w:hAnsi="Times New Roman"/>
                <w:color w:val="auto"/>
                <w:sz w:val="24"/>
                <w:szCs w:val="24"/>
                <w:lang w:val="uk-UA"/>
              </w:rPr>
              <w:t>. СПД</w:t>
            </w:r>
            <w:r>
              <w:rPr>
                <w:rFonts w:ascii="Times New Roman" w:hAnsi="Times New Roman"/>
                <w:color w:val="auto"/>
                <w:sz w:val="24"/>
                <w:szCs w:val="24"/>
                <w:lang w:val="uk-UA"/>
              </w:rPr>
              <w:t xml:space="preserve"> — </w:t>
            </w:r>
            <w:r>
              <w:rPr>
                <w:rFonts w:ascii="Times New Roman" w:hAnsi="Times New Roman" w:cs="Times New Roman"/>
                <w:color w:val="auto"/>
                <w:sz w:val="24"/>
                <w:szCs w:val="24"/>
                <w:lang w:val="uk-UA"/>
              </w:rPr>
              <w:t>600,126</w:t>
            </w: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тис. грн.), що дасть можливість забезпечити фінансування програм соціально-економічного розвитку сільської ради.</w:t>
            </w:r>
            <w:r>
              <w:rPr>
                <w:rFonts w:ascii="Times New Roman" w:hAnsi="Times New Roman"/>
                <w:color w:val="auto"/>
                <w:sz w:val="24"/>
                <w:szCs w:val="24"/>
                <w:lang w:val="uk-UA"/>
              </w:rPr>
              <w:br/>
            </w:r>
          </w:p>
        </w:tc>
        <w:tc>
          <w:tcPr>
            <w:tcW w:w="2986" w:type="dxa"/>
            <w:tcBorders>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Нові зміни та доповнення до чинного законодавства або виникнення необхідності в нормативному врегулюванні певних правових відносин.</w:t>
            </w:r>
            <w:r>
              <w:rPr>
                <w:rFonts w:ascii="Times New Roman" w:hAnsi="Times New Roman"/>
                <w:color w:val="auto"/>
                <w:sz w:val="24"/>
                <w:szCs w:val="24"/>
                <w:lang w:val="uk-UA"/>
              </w:rPr>
              <w:t xml:space="preserve"> Індикаторами можуть бути процеси та явища соціально-економічного характеру.</w:t>
            </w:r>
          </w:p>
        </w:tc>
      </w:tr>
      <w:tr w:rsidR="00A342B7" w:rsidRPr="00CE623E">
        <w:tc>
          <w:tcPr>
            <w:tcW w:w="2799"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lastRenderedPageBreak/>
              <w:t xml:space="preserve">Альтернатива 3 (установлення максимальної ставки податку на нерухоме майно, відмінне від земельної ділянки, 1,5% розміру мінімальної заробітної плати, встановленої законом на 01 </w:t>
            </w:r>
            <w:r>
              <w:rPr>
                <w:rFonts w:ascii="Times New Roman" w:hAnsi="Times New Roman"/>
                <w:color w:val="auto"/>
                <w:sz w:val="24"/>
                <w:szCs w:val="24"/>
                <w:lang w:val="uk-UA"/>
              </w:rPr>
              <w:t xml:space="preserve">січня звітного (податкового) року, за 1 </w:t>
            </w:r>
            <w:proofErr w:type="spellStart"/>
            <w:r>
              <w:rPr>
                <w:rFonts w:ascii="Times New Roman" w:hAnsi="Times New Roman"/>
                <w:color w:val="auto"/>
                <w:sz w:val="24"/>
                <w:szCs w:val="24"/>
                <w:lang w:val="uk-UA"/>
              </w:rPr>
              <w:t>кв</w:t>
            </w:r>
            <w:proofErr w:type="spellEnd"/>
            <w:r>
              <w:rPr>
                <w:rFonts w:ascii="Times New Roman" w:hAnsi="Times New Roman"/>
                <w:color w:val="auto"/>
                <w:sz w:val="24"/>
                <w:szCs w:val="24"/>
                <w:lang w:val="uk-UA"/>
              </w:rPr>
              <w:t>. м. бази оподаткування</w:t>
            </w:r>
          </w:p>
        </w:tc>
        <w:tc>
          <w:tcPr>
            <w:tcW w:w="3841"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Причиною відмови є максимальне податкове навантаження на суб'єктів господарювання, які виникають внаслідок дії регуляторного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w:t>
            </w:r>
            <w:r>
              <w:rPr>
                <w:rFonts w:ascii="Times New Roman" w:hAnsi="Times New Roman"/>
                <w:color w:val="auto"/>
                <w:sz w:val="24"/>
                <w:szCs w:val="24"/>
                <w:lang w:val="uk-UA"/>
              </w:rPr>
              <w:br/>
              <w:t xml:space="preserve">Прогнозовані надходження до місцевого бюджету </w:t>
            </w:r>
            <w:r>
              <w:rPr>
                <w:rFonts w:ascii="Times New Roman" w:hAnsi="Times New Roman" w:cs="Times New Roman"/>
                <w:iCs/>
                <w:color w:val="auto"/>
                <w:sz w:val="24"/>
                <w:szCs w:val="24"/>
                <w:lang w:val="uk-UA"/>
              </w:rPr>
              <w:t>1</w:t>
            </w:r>
            <w:r>
              <w:rPr>
                <w:rFonts w:ascii="Times New Roman" w:hAnsi="Times New Roman" w:cs="Times New Roman"/>
                <w:color w:val="auto"/>
                <w:sz w:val="24"/>
                <w:szCs w:val="24"/>
                <w:lang w:val="uk-UA"/>
              </w:rPr>
              <w:t>8</w:t>
            </w:r>
            <w:r>
              <w:rPr>
                <w:rFonts w:ascii="Times New Roman" w:hAnsi="Times New Roman" w:cs="Times New Roman"/>
                <w:color w:val="auto"/>
                <w:sz w:val="24"/>
                <w:szCs w:val="24"/>
                <w:lang w:val="uk-UA"/>
              </w:rPr>
              <w:t>12,16</w:t>
            </w:r>
            <w:r>
              <w:rPr>
                <w:rFonts w:ascii="Times New Roman" w:hAnsi="Times New Roman" w:cs="Times New Roman"/>
                <w:iCs/>
                <w:color w:val="auto"/>
                <w:sz w:val="24"/>
                <w:szCs w:val="24"/>
                <w:lang w:val="uk-UA"/>
              </w:rPr>
              <w:t xml:space="preserve"> </w:t>
            </w:r>
            <w:r>
              <w:rPr>
                <w:rFonts w:ascii="Times New Roman" w:hAnsi="Times New Roman"/>
                <w:color w:val="auto"/>
                <w:sz w:val="24"/>
                <w:szCs w:val="24"/>
                <w:lang w:val="uk-UA"/>
              </w:rPr>
              <w:t xml:space="preserve">тис. грн. (в </w:t>
            </w:r>
            <w:proofErr w:type="spellStart"/>
            <w:r>
              <w:rPr>
                <w:rFonts w:ascii="Times New Roman" w:hAnsi="Times New Roman"/>
                <w:color w:val="auto"/>
                <w:sz w:val="24"/>
                <w:szCs w:val="24"/>
                <w:lang w:val="uk-UA"/>
              </w:rPr>
              <w:t>т.ч</w:t>
            </w:r>
            <w:proofErr w:type="spellEnd"/>
            <w:r>
              <w:rPr>
                <w:rFonts w:ascii="Times New Roman" w:hAnsi="Times New Roman"/>
                <w:color w:val="auto"/>
                <w:sz w:val="24"/>
                <w:szCs w:val="24"/>
                <w:lang w:val="uk-UA"/>
              </w:rPr>
              <w:t xml:space="preserve">. СПД - </w:t>
            </w:r>
            <w:r>
              <w:rPr>
                <w:rFonts w:ascii="Times New Roman" w:hAnsi="Times New Roman" w:cs="Times New Roman"/>
                <w:color w:val="auto"/>
                <w:sz w:val="24"/>
                <w:szCs w:val="24"/>
                <w:lang w:val="uk-UA"/>
              </w:rPr>
              <w:t>1800,</w:t>
            </w:r>
            <w:r>
              <w:rPr>
                <w:rFonts w:ascii="Times New Roman" w:hAnsi="Times New Roman" w:cs="Times New Roman"/>
                <w:color w:val="auto"/>
                <w:sz w:val="24"/>
                <w:szCs w:val="24"/>
                <w:lang w:val="uk-UA"/>
              </w:rPr>
              <w:t>499</w:t>
            </w: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тис. грн.), які забезпечать фінансування програм соціально-економічного розвитку сільської ради.</w:t>
            </w:r>
          </w:p>
        </w:tc>
        <w:tc>
          <w:tcPr>
            <w:tcW w:w="2986" w:type="dxa"/>
            <w:tcBorders>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Нові зміни та доповнення до чинного законодавства або виникнення необхідності в нормативному врегулюванні певних правових </w:t>
            </w:r>
            <w:r>
              <w:rPr>
                <w:rFonts w:ascii="Times New Roman" w:hAnsi="Times New Roman"/>
                <w:color w:val="auto"/>
                <w:sz w:val="24"/>
                <w:szCs w:val="24"/>
                <w:lang w:val="uk-UA"/>
              </w:rPr>
              <w:t>відносин.</w:t>
            </w:r>
          </w:p>
        </w:tc>
      </w:tr>
      <w:tr w:rsidR="00A342B7">
        <w:tc>
          <w:tcPr>
            <w:tcW w:w="2799"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Альтернатива 1 (не прийняття регуляторного акту)</w:t>
            </w:r>
          </w:p>
        </w:tc>
        <w:tc>
          <w:tcPr>
            <w:tcW w:w="3841" w:type="dxa"/>
            <w:tcBorders>
              <w:left w:val="single" w:sz="4" w:space="0" w:color="000000"/>
              <w:bottom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Причина відмови є недоотримання надходжень коштів до місцевого бюджету в розмірі </w:t>
            </w:r>
            <w:r>
              <w:rPr>
                <w:rFonts w:ascii="Times New Roman" w:hAnsi="Times New Roman" w:cs="Times New Roman"/>
                <w:color w:val="auto"/>
                <w:sz w:val="24"/>
                <w:szCs w:val="24"/>
                <w:lang w:val="uk-UA"/>
              </w:rPr>
              <w:t>604,013</w:t>
            </w:r>
            <w:r>
              <w:rPr>
                <w:rFonts w:ascii="Times New Roman" w:hAnsi="Times New Roman" w:cs="Times New Roman"/>
                <w:color w:val="auto"/>
                <w:sz w:val="24"/>
                <w:szCs w:val="24"/>
                <w:lang w:val="uk-UA"/>
              </w:rPr>
              <w:t xml:space="preserve"> </w:t>
            </w:r>
            <w:r>
              <w:rPr>
                <w:rFonts w:ascii="Times New Roman" w:hAnsi="Times New Roman"/>
                <w:color w:val="auto"/>
                <w:sz w:val="24"/>
                <w:szCs w:val="24"/>
                <w:lang w:val="uk-UA"/>
              </w:rPr>
              <w:t>тис. грн. для фінансування програм соціально-економічного розвитку сільської ради.</w:t>
            </w:r>
          </w:p>
        </w:tc>
        <w:tc>
          <w:tcPr>
            <w:tcW w:w="2986" w:type="dxa"/>
            <w:tcBorders>
              <w:left w:val="single" w:sz="4" w:space="0" w:color="000000"/>
              <w:bottom w:val="single" w:sz="4" w:space="0" w:color="000000"/>
              <w:right w:val="single" w:sz="4" w:space="0" w:color="000000"/>
            </w:tcBorders>
            <w:shd w:val="clear" w:color="auto" w:fill="auto"/>
          </w:tcPr>
          <w:p w:rsidR="00A342B7"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Відсутні.</w:t>
            </w:r>
          </w:p>
        </w:tc>
      </w:tr>
    </w:tbl>
    <w:p w:rsidR="00A342B7" w:rsidRDefault="00A342B7">
      <w:pPr>
        <w:pStyle w:val="Textbody"/>
        <w:spacing w:after="0" w:line="240" w:lineRule="auto"/>
        <w:rPr>
          <w:rFonts w:ascii="Times New Roman" w:hAnsi="Times New Roman"/>
          <w:color w:val="auto"/>
          <w:sz w:val="28"/>
          <w:szCs w:val="28"/>
          <w:lang w:val="uk-UA"/>
        </w:rPr>
      </w:pPr>
    </w:p>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V. Механізми</w:t>
      </w:r>
      <w:r>
        <w:rPr>
          <w:rFonts w:ascii="Times New Roman" w:hAnsi="Times New Roman"/>
          <w:b/>
          <w:bCs/>
          <w:color w:val="auto"/>
          <w:sz w:val="32"/>
          <w:szCs w:val="32"/>
          <w:lang w:val="uk-UA"/>
        </w:rPr>
        <w:t xml:space="preserve"> та заходи, які забезпечать розв'язання визначеної проблеми</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 xml:space="preserve">Запропоновані механізми регуляторного </w:t>
      </w:r>
      <w:proofErr w:type="spellStart"/>
      <w:r>
        <w:rPr>
          <w:rFonts w:ascii="Times New Roman" w:hAnsi="Times New Roman"/>
          <w:b/>
          <w:bCs/>
          <w:color w:val="auto"/>
          <w:sz w:val="28"/>
          <w:szCs w:val="28"/>
          <w:lang w:val="uk-UA"/>
        </w:rPr>
        <w:t>акта</w:t>
      </w:r>
      <w:proofErr w:type="spellEnd"/>
      <w:r>
        <w:rPr>
          <w:rFonts w:ascii="Times New Roman" w:hAnsi="Times New Roman"/>
          <w:b/>
          <w:bCs/>
          <w:color w:val="auto"/>
          <w:sz w:val="28"/>
          <w:szCs w:val="28"/>
          <w:lang w:val="uk-UA"/>
        </w:rPr>
        <w:t>, за допомогою яких можна розв'язати проблему:</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cs="Times New Roman"/>
          <w:color w:val="auto"/>
          <w:sz w:val="28"/>
          <w:szCs w:val="28"/>
          <w:lang w:val="uk-UA"/>
        </w:rPr>
        <w:t>В результаті проведення аналізу поточної ситуації на території Білоцерківської сільської ради, інформації в</w:t>
      </w:r>
      <w:r>
        <w:rPr>
          <w:rFonts w:ascii="Times New Roman" w:hAnsi="Times New Roman" w:cs="Times New Roman"/>
          <w:color w:val="auto"/>
          <w:sz w:val="28"/>
          <w:szCs w:val="28"/>
          <w:lang w:val="uk-UA"/>
        </w:rPr>
        <w:t>ідділу фінансового забезпечення та економічного розвитку виконавчого комітету Білоцерківської сільської ради, проведених запитів та засідань, основним механізмом, який забезпечить розв’язання визначеної проблеми є прийняття рішення про встановлення податку</w:t>
      </w:r>
      <w:r>
        <w:rPr>
          <w:rFonts w:ascii="Times New Roman" w:hAnsi="Times New Roman" w:cs="Times New Roman"/>
          <w:color w:val="auto"/>
          <w:sz w:val="28"/>
          <w:szCs w:val="28"/>
          <w:lang w:val="uk-UA"/>
        </w:rPr>
        <w:t xml:space="preserve"> на нерухоме майно, відмінне від земельної ділянки на території Білоцерківської сільської ради на 2021 рік із максимальними ставками податку.</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 xml:space="preserve">Заходи, які мають здійснити органи влади для впровадження цього регуляторного </w:t>
      </w:r>
      <w:proofErr w:type="spellStart"/>
      <w:r>
        <w:rPr>
          <w:rFonts w:ascii="Times New Roman" w:hAnsi="Times New Roman"/>
          <w:b/>
          <w:bCs/>
          <w:color w:val="auto"/>
          <w:sz w:val="28"/>
          <w:szCs w:val="28"/>
          <w:lang w:val="uk-UA"/>
        </w:rPr>
        <w:t>акта</w:t>
      </w:r>
      <w:proofErr w:type="spellEnd"/>
      <w:r>
        <w:rPr>
          <w:rFonts w:ascii="Times New Roman" w:hAnsi="Times New Roman"/>
          <w:b/>
          <w:bCs/>
          <w:color w:val="auto"/>
          <w:sz w:val="28"/>
          <w:szCs w:val="28"/>
          <w:lang w:val="uk-UA"/>
        </w:rPr>
        <w:t>:</w:t>
      </w:r>
    </w:p>
    <w:p w:rsidR="00A342B7" w:rsidRDefault="00CE623E">
      <w:pPr>
        <w:pStyle w:val="af2"/>
        <w:numPr>
          <w:ilvl w:val="0"/>
          <w:numId w:val="2"/>
        </w:numPr>
        <w:tabs>
          <w:tab w:val="left" w:pos="6300"/>
        </w:tabs>
        <w:spacing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Оприлюднення проекту рішення р</w:t>
      </w:r>
      <w:r>
        <w:rPr>
          <w:rFonts w:ascii="Times New Roman" w:hAnsi="Times New Roman"/>
          <w:color w:val="auto"/>
          <w:sz w:val="28"/>
          <w:szCs w:val="28"/>
          <w:lang w:val="uk-UA"/>
        </w:rPr>
        <w:t>азом з АРВ та отримання пропозицій і зауважень.</w:t>
      </w:r>
    </w:p>
    <w:p w:rsidR="00A342B7" w:rsidRDefault="00CE623E">
      <w:pPr>
        <w:pStyle w:val="af2"/>
        <w:numPr>
          <w:ilvl w:val="0"/>
          <w:numId w:val="2"/>
        </w:numPr>
        <w:tabs>
          <w:tab w:val="left" w:pos="6300"/>
        </w:tabs>
        <w:spacing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Отримання пропозицій по удосконаленню проекту рішення від Державної регуляторної служби України.</w:t>
      </w:r>
    </w:p>
    <w:p w:rsidR="00A342B7" w:rsidRDefault="00CE623E">
      <w:pPr>
        <w:pStyle w:val="af2"/>
        <w:numPr>
          <w:ilvl w:val="0"/>
          <w:numId w:val="2"/>
        </w:numPr>
        <w:tabs>
          <w:tab w:val="left" w:pos="6300"/>
        </w:tabs>
        <w:spacing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Прийняття рішення на пленарному засіданні сесії сільської ради.</w:t>
      </w:r>
    </w:p>
    <w:p w:rsidR="00A342B7" w:rsidRDefault="00CE623E">
      <w:pPr>
        <w:pStyle w:val="af2"/>
        <w:numPr>
          <w:ilvl w:val="0"/>
          <w:numId w:val="2"/>
        </w:numPr>
        <w:tabs>
          <w:tab w:val="left" w:pos="6300"/>
        </w:tabs>
        <w:spacing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 xml:space="preserve">Оприлюднення рішення у встановленому </w:t>
      </w:r>
      <w:r>
        <w:rPr>
          <w:rFonts w:ascii="Times New Roman" w:hAnsi="Times New Roman"/>
          <w:color w:val="auto"/>
          <w:sz w:val="28"/>
          <w:szCs w:val="28"/>
          <w:lang w:val="uk-UA"/>
        </w:rPr>
        <w:t>законодавством порядку.</w:t>
      </w:r>
    </w:p>
    <w:p w:rsidR="00A342B7" w:rsidRDefault="00CE623E">
      <w:pPr>
        <w:pStyle w:val="af2"/>
        <w:numPr>
          <w:ilvl w:val="0"/>
          <w:numId w:val="2"/>
        </w:numPr>
        <w:tabs>
          <w:tab w:val="left" w:pos="6300"/>
        </w:tabs>
        <w:spacing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Проведення заходів з відстеження результативності прийнятого рішення</w:t>
      </w:r>
    </w:p>
    <w:p w:rsidR="00A342B7" w:rsidRDefault="00A342B7">
      <w:pPr>
        <w:pStyle w:val="Textbody"/>
        <w:spacing w:after="0" w:line="240" w:lineRule="auto"/>
        <w:rPr>
          <w:rFonts w:ascii="Times New Roman" w:hAnsi="Times New Roman"/>
          <w:color w:val="auto"/>
          <w:sz w:val="28"/>
          <w:szCs w:val="28"/>
          <w:lang w:val="uk-UA"/>
        </w:rPr>
      </w:pPr>
    </w:p>
    <w:p w:rsidR="00A342B7" w:rsidRDefault="00CE623E">
      <w:pPr>
        <w:pStyle w:val="Textbody"/>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 xml:space="preserve">VI. Оцінка виконання вимог регуляторного </w:t>
      </w:r>
      <w:proofErr w:type="spellStart"/>
      <w:r>
        <w:rPr>
          <w:rFonts w:ascii="Times New Roman" w:hAnsi="Times New Roman"/>
          <w:b/>
          <w:bCs/>
          <w:color w:val="auto"/>
          <w:sz w:val="32"/>
          <w:szCs w:val="32"/>
          <w:lang w:val="uk-UA"/>
        </w:rPr>
        <w:t>акта</w:t>
      </w:r>
      <w:proofErr w:type="spellEnd"/>
      <w:r>
        <w:rPr>
          <w:rFonts w:ascii="Times New Roman" w:hAnsi="Times New Roman"/>
          <w:b/>
          <w:bCs/>
          <w:color w:val="auto"/>
          <w:sz w:val="32"/>
          <w:szCs w:val="32"/>
          <w:lang w:val="uk-UA"/>
        </w:rPr>
        <w:t xml:space="preserve"> залежно від ресурсів, якими розпоряджаються органи виконавчої влади чи органи місцевого самоврядування, фізичні та ю</w:t>
      </w:r>
      <w:r>
        <w:rPr>
          <w:rFonts w:ascii="Times New Roman" w:hAnsi="Times New Roman"/>
          <w:b/>
          <w:bCs/>
          <w:color w:val="auto"/>
          <w:sz w:val="32"/>
          <w:szCs w:val="32"/>
          <w:lang w:val="uk-UA"/>
        </w:rPr>
        <w:t>ридичні особи, які повинні проваджувати або виконувати ці вимоги</w:t>
      </w:r>
    </w:p>
    <w:p w:rsidR="00A342B7" w:rsidRDefault="00CE623E">
      <w:pPr>
        <w:pStyle w:val="Textbody"/>
        <w:spacing w:after="0" w:line="240" w:lineRule="auto"/>
        <w:ind w:firstLine="709"/>
        <w:jc w:val="both"/>
        <w:rPr>
          <w:rFonts w:ascii="Times New Roman" w:hAnsi="Times New Roman"/>
          <w:color w:val="auto"/>
          <w:sz w:val="28"/>
          <w:szCs w:val="28"/>
          <w:highlight w:val="white"/>
          <w:lang w:val="uk-UA"/>
        </w:rPr>
      </w:pPr>
      <w:r>
        <w:rPr>
          <w:rFonts w:ascii="Times New Roman" w:hAnsi="Times New Roman"/>
          <w:sz w:val="28"/>
          <w:szCs w:val="28"/>
          <w:shd w:val="clear" w:color="auto" w:fill="FFFFFF"/>
          <w:lang w:val="uk-UA"/>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розрахун</w:t>
      </w:r>
      <w:r>
        <w:rPr>
          <w:rFonts w:ascii="Times New Roman" w:hAnsi="Times New Roman"/>
          <w:sz w:val="28"/>
          <w:szCs w:val="28"/>
          <w:shd w:val="clear" w:color="auto" w:fill="FFFFFF"/>
          <w:lang w:val="uk-UA"/>
        </w:rPr>
        <w:t xml:space="preserve">ок витрат на </w:t>
      </w:r>
      <w:r>
        <w:rPr>
          <w:rFonts w:ascii="Times New Roman" w:hAnsi="Times New Roman"/>
          <w:sz w:val="28"/>
          <w:szCs w:val="28"/>
          <w:shd w:val="clear" w:color="auto" w:fill="FFFFFF"/>
          <w:lang w:val="uk-UA"/>
        </w:rPr>
        <w:lastRenderedPageBreak/>
        <w:t xml:space="preserve">запровадження державного регулювання для суб’єктів малого підприємництва здійснено згідно з додатком 4 до Методики проведення аналізу впливу регуляторного </w:t>
      </w:r>
      <w:proofErr w:type="spellStart"/>
      <w:r>
        <w:rPr>
          <w:rFonts w:ascii="Times New Roman" w:hAnsi="Times New Roman"/>
          <w:sz w:val="28"/>
          <w:szCs w:val="28"/>
          <w:shd w:val="clear" w:color="auto" w:fill="FFFFFF"/>
          <w:lang w:val="uk-UA"/>
        </w:rPr>
        <w:t>акта</w:t>
      </w:r>
      <w:proofErr w:type="spellEnd"/>
      <w:r>
        <w:rPr>
          <w:rFonts w:ascii="Times New Roman" w:hAnsi="Times New Roman"/>
          <w:sz w:val="28"/>
          <w:szCs w:val="28"/>
          <w:shd w:val="clear" w:color="auto" w:fill="FFFFFF"/>
          <w:lang w:val="uk-UA"/>
        </w:rPr>
        <w:t xml:space="preserve"> (Тест малого підприємництва).</w:t>
      </w:r>
    </w:p>
    <w:p w:rsidR="00A342B7" w:rsidRDefault="00CE623E">
      <w:pPr>
        <w:pStyle w:val="Textbody"/>
        <w:spacing w:after="0" w:line="240" w:lineRule="auto"/>
        <w:jc w:val="center"/>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br/>
      </w:r>
      <w:r>
        <w:rPr>
          <w:rFonts w:ascii="Times New Roman" w:hAnsi="Times New Roman"/>
          <w:b/>
          <w:bCs/>
          <w:sz w:val="32"/>
          <w:szCs w:val="32"/>
          <w:shd w:val="clear" w:color="auto" w:fill="FFFFFF"/>
          <w:lang w:val="uk-UA"/>
        </w:rPr>
        <w:t xml:space="preserve">VII. Обґрунтування запропонованого строку дії </w:t>
      </w:r>
      <w:r>
        <w:rPr>
          <w:rFonts w:ascii="Times New Roman" w:hAnsi="Times New Roman"/>
          <w:b/>
          <w:bCs/>
          <w:sz w:val="32"/>
          <w:szCs w:val="32"/>
          <w:shd w:val="clear" w:color="auto" w:fill="FFFFFF"/>
          <w:lang w:val="uk-UA"/>
        </w:rPr>
        <w:t xml:space="preserve">регуляторного </w:t>
      </w:r>
      <w:proofErr w:type="spellStart"/>
      <w:r>
        <w:rPr>
          <w:rFonts w:ascii="Times New Roman" w:hAnsi="Times New Roman"/>
          <w:b/>
          <w:bCs/>
          <w:sz w:val="32"/>
          <w:szCs w:val="32"/>
          <w:shd w:val="clear" w:color="auto" w:fill="FFFFFF"/>
          <w:lang w:val="uk-UA"/>
        </w:rPr>
        <w:t>акта</w:t>
      </w:r>
      <w:proofErr w:type="spellEnd"/>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 xml:space="preserve">Запропонований термін дії </w:t>
      </w:r>
      <w:proofErr w:type="spellStart"/>
      <w:r>
        <w:rPr>
          <w:rFonts w:ascii="Times New Roman" w:hAnsi="Times New Roman"/>
          <w:b/>
          <w:bCs/>
          <w:color w:val="auto"/>
          <w:sz w:val="28"/>
          <w:szCs w:val="28"/>
          <w:lang w:val="uk-UA"/>
        </w:rPr>
        <w:t>акта</w:t>
      </w:r>
      <w:proofErr w:type="spellEnd"/>
      <w:r>
        <w:rPr>
          <w:rFonts w:ascii="Times New Roman" w:hAnsi="Times New Roman"/>
          <w:b/>
          <w:bCs/>
          <w:color w:val="auto"/>
          <w:sz w:val="28"/>
          <w:szCs w:val="28"/>
          <w:lang w:val="uk-UA"/>
        </w:rPr>
        <w:t>:</w:t>
      </w:r>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один рік</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 xml:space="preserve">Обґрунтування запропонованого терміну дії </w:t>
      </w:r>
      <w:proofErr w:type="spellStart"/>
      <w:r>
        <w:rPr>
          <w:rFonts w:ascii="Times New Roman" w:hAnsi="Times New Roman"/>
          <w:b/>
          <w:bCs/>
          <w:color w:val="auto"/>
          <w:sz w:val="28"/>
          <w:szCs w:val="28"/>
          <w:lang w:val="uk-UA"/>
        </w:rPr>
        <w:t>акта</w:t>
      </w:r>
      <w:proofErr w:type="spellEnd"/>
      <w:r>
        <w:rPr>
          <w:rFonts w:ascii="Times New Roman" w:hAnsi="Times New Roman"/>
          <w:b/>
          <w:bCs/>
          <w:color w:val="auto"/>
          <w:sz w:val="28"/>
          <w:szCs w:val="28"/>
          <w:lang w:val="uk-UA"/>
        </w:rPr>
        <w:t>:</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color w:val="auto"/>
          <w:sz w:val="28"/>
          <w:szCs w:val="28"/>
          <w:lang w:val="uk-UA"/>
        </w:rPr>
        <w:t>Враховуючи норми Бюджетного та Податкового кодексів України, органи місцевого самоврядування мають щорічно переглядати розміри ставок місцевих подат</w:t>
      </w:r>
      <w:r>
        <w:rPr>
          <w:rFonts w:ascii="Times New Roman" w:hAnsi="Times New Roman"/>
          <w:color w:val="auto"/>
          <w:sz w:val="28"/>
          <w:szCs w:val="28"/>
          <w:lang w:val="uk-UA"/>
        </w:rPr>
        <w:t>ків і зборів, що справляються в установленому Податковим кодексом України порядку. Відповідні ставки будуть діяти лише протягом року, на який прийняті.</w:t>
      </w:r>
    </w:p>
    <w:p w:rsidR="00A342B7" w:rsidRDefault="00A342B7">
      <w:pPr>
        <w:pStyle w:val="Textbody"/>
        <w:spacing w:after="0" w:line="240" w:lineRule="auto"/>
        <w:ind w:firstLine="709"/>
        <w:jc w:val="both"/>
        <w:rPr>
          <w:rFonts w:ascii="Times New Roman" w:hAnsi="Times New Roman"/>
          <w:color w:val="auto"/>
          <w:sz w:val="28"/>
          <w:szCs w:val="28"/>
          <w:lang w:val="uk-UA"/>
        </w:rPr>
      </w:pPr>
    </w:p>
    <w:p w:rsidR="00A342B7" w:rsidRDefault="00CE623E">
      <w:pPr>
        <w:pStyle w:val="Textbody"/>
        <w:spacing w:after="0" w:line="240" w:lineRule="auto"/>
        <w:jc w:val="center"/>
        <w:rPr>
          <w:rFonts w:ascii="Times New Roman" w:hAnsi="Times New Roman"/>
          <w:b/>
          <w:bCs/>
          <w:color w:val="auto"/>
          <w:sz w:val="32"/>
          <w:szCs w:val="32"/>
          <w:highlight w:val="white"/>
          <w:lang w:val="uk-UA"/>
        </w:rPr>
      </w:pPr>
      <w:r>
        <w:rPr>
          <w:rFonts w:ascii="Times New Roman" w:hAnsi="Times New Roman"/>
          <w:b/>
          <w:bCs/>
          <w:sz w:val="32"/>
          <w:szCs w:val="32"/>
          <w:shd w:val="clear" w:color="auto" w:fill="FFFFFF"/>
          <w:lang w:val="uk-UA"/>
        </w:rPr>
        <w:t xml:space="preserve">VIII. Визначення показників результативності дії регуляторного                                         </w:t>
      </w:r>
      <w:r>
        <w:rPr>
          <w:rFonts w:ascii="Times New Roman" w:hAnsi="Times New Roman"/>
          <w:b/>
          <w:bCs/>
          <w:sz w:val="32"/>
          <w:szCs w:val="32"/>
          <w:shd w:val="clear" w:color="auto" w:fill="FFFFFF"/>
          <w:lang w:val="uk-UA"/>
        </w:rPr>
        <w:t xml:space="preserve">                             </w:t>
      </w:r>
      <w:proofErr w:type="spellStart"/>
      <w:r>
        <w:rPr>
          <w:rFonts w:ascii="Times New Roman" w:hAnsi="Times New Roman"/>
          <w:b/>
          <w:bCs/>
          <w:sz w:val="32"/>
          <w:szCs w:val="32"/>
          <w:shd w:val="clear" w:color="auto" w:fill="FFFFFF"/>
          <w:lang w:val="uk-UA"/>
        </w:rPr>
        <w:t>акта</w:t>
      </w:r>
      <w:proofErr w:type="spellEnd"/>
    </w:p>
    <w:p w:rsidR="00A342B7" w:rsidRDefault="00CE623E">
      <w:pPr>
        <w:pStyle w:val="Textbody"/>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Досягнення цілі державного регулювання, задля якого пропонується акт, може бути охарактеризовано наступними кількісними та якісними показниками, значення яких має змінитися за вимірюваний період:</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56"/>
        <w:gridCol w:w="3313"/>
        <w:gridCol w:w="1188"/>
        <w:gridCol w:w="4837"/>
      </w:tblGrid>
      <w:tr w:rsidR="00CE623E" w:rsidTr="00CE623E">
        <w:tc>
          <w:tcPr>
            <w:tcW w:w="0" w:type="auto"/>
            <w:shd w:val="clear" w:color="auto" w:fill="auto"/>
          </w:tcPr>
          <w:p w:rsidR="00CE623E"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w:t>
            </w:r>
          </w:p>
        </w:tc>
        <w:tc>
          <w:tcPr>
            <w:tcW w:w="0" w:type="auto"/>
            <w:shd w:val="clear" w:color="auto" w:fill="auto"/>
          </w:tcPr>
          <w:p w:rsidR="00CE623E"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Назва показника</w:t>
            </w:r>
          </w:p>
        </w:tc>
        <w:tc>
          <w:tcPr>
            <w:tcW w:w="0" w:type="auto"/>
            <w:shd w:val="clear" w:color="auto" w:fill="auto"/>
          </w:tcPr>
          <w:p w:rsidR="00CE623E"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Одиниця виміру</w:t>
            </w:r>
          </w:p>
        </w:tc>
        <w:tc>
          <w:tcPr>
            <w:tcW w:w="0" w:type="auto"/>
            <w:shd w:val="clear" w:color="auto" w:fill="auto"/>
          </w:tcPr>
          <w:p w:rsidR="00CE623E" w:rsidRPr="00CE623E" w:rsidRDefault="00CE623E">
            <w:pPr>
              <w:pStyle w:val="af"/>
              <w:spacing w:line="240" w:lineRule="auto"/>
              <w:rPr>
                <w:rFonts w:ascii="Times New Roman" w:hAnsi="Times New Roman"/>
                <w:b/>
                <w:bCs/>
                <w:color w:val="auto"/>
                <w:sz w:val="24"/>
                <w:szCs w:val="24"/>
                <w:lang w:val="uk-UA"/>
              </w:rPr>
            </w:pPr>
            <w:r>
              <w:rPr>
                <w:rFonts w:ascii="Times New Roman" w:hAnsi="Times New Roman"/>
                <w:b/>
                <w:bCs/>
                <w:color w:val="auto"/>
                <w:sz w:val="24"/>
                <w:szCs w:val="24"/>
              </w:rPr>
              <w:t>202</w:t>
            </w:r>
            <w:r>
              <w:rPr>
                <w:rFonts w:ascii="Times New Roman" w:hAnsi="Times New Roman"/>
                <w:b/>
                <w:bCs/>
                <w:color w:val="auto"/>
                <w:sz w:val="24"/>
                <w:szCs w:val="24"/>
                <w:lang w:val="uk-UA"/>
              </w:rPr>
              <w:t>1 рік</w:t>
            </w:r>
            <w:r>
              <w:rPr>
                <w:rFonts w:ascii="Times New Roman" w:hAnsi="Times New Roman"/>
                <w:b/>
                <w:bCs/>
                <w:color w:val="auto"/>
                <w:sz w:val="24"/>
                <w:szCs w:val="24"/>
              </w:rPr>
              <w:t xml:space="preserve"> </w:t>
            </w:r>
            <w:r>
              <w:rPr>
                <w:rFonts w:ascii="Times New Roman" w:hAnsi="Times New Roman"/>
                <w:b/>
                <w:bCs/>
                <w:color w:val="auto"/>
                <w:sz w:val="24"/>
                <w:szCs w:val="24"/>
                <w:lang w:val="uk-UA"/>
              </w:rPr>
              <w:t>(прогноз)</w:t>
            </w:r>
            <w:bookmarkStart w:id="0" w:name="_GoBack"/>
            <w:bookmarkEnd w:id="0"/>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1</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Розмір надходжень до державного бюджету, пов’язаних з дією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грн.</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0</w:t>
            </w: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2</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Розмір надходжень до місцевих бюджетів, пов’язаних з дією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грн.</w:t>
            </w:r>
          </w:p>
        </w:tc>
        <w:tc>
          <w:tcPr>
            <w:tcW w:w="0" w:type="auto"/>
            <w:shd w:val="clear" w:color="auto" w:fill="auto"/>
          </w:tcPr>
          <w:p w:rsidR="00CE623E" w:rsidRDefault="00CE623E">
            <w:pPr>
              <w:spacing w:line="240" w:lineRule="auto"/>
              <w:rPr>
                <w:rFonts w:ascii="Times New Roman" w:hAnsi="Times New Roman"/>
                <w:color w:val="auto"/>
                <w:sz w:val="24"/>
                <w:szCs w:val="24"/>
                <w:lang w:val="uk-UA"/>
              </w:rPr>
            </w:pPr>
            <w:r>
              <w:rPr>
                <w:rFonts w:ascii="Times New Roman" w:hAnsi="Times New Roman" w:cs="Times New Roman"/>
                <w:color w:val="auto"/>
                <w:sz w:val="24"/>
                <w:szCs w:val="24"/>
                <w:lang w:val="uk-UA"/>
              </w:rPr>
              <w:t>600126,33</w:t>
            </w: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3</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Розмір надходжень до цільового фонду, пов’язаних з дією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грн.</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0</w:t>
            </w: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4</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Кількість суб’єктів господарювання та/або фізичних осіб, на яких поширюватиметься дія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од.</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14</w:t>
            </w: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5</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Розмір коштів, що витрачатимуться суб’єктами господарювання та/або фізичними особами, пов’язаними з виконанням вимог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грн.</w:t>
            </w:r>
          </w:p>
        </w:tc>
        <w:tc>
          <w:tcPr>
            <w:tcW w:w="0" w:type="auto"/>
            <w:shd w:val="clear" w:color="auto" w:fill="auto"/>
          </w:tcPr>
          <w:p w:rsidR="00CE623E" w:rsidRDefault="00CE623E">
            <w:pPr>
              <w:rPr>
                <w:rFonts w:ascii="Times New Roman" w:hAnsi="Times New Roman"/>
                <w:color w:val="auto"/>
                <w:sz w:val="24"/>
                <w:szCs w:val="24"/>
                <w:lang w:val="uk-UA"/>
              </w:rPr>
            </w:pPr>
            <w:r>
              <w:rPr>
                <w:rFonts w:ascii="Times New Roman" w:hAnsi="Times New Roman"/>
                <w:color w:val="auto"/>
                <w:sz w:val="24"/>
                <w:szCs w:val="24"/>
                <w:lang w:val="uk-UA"/>
              </w:rPr>
              <w:t>604013,17</w:t>
            </w:r>
          </w:p>
          <w:p w:rsidR="00CE623E" w:rsidRDefault="00CE623E">
            <w:pPr>
              <w:rPr>
                <w:rFonts w:ascii="Times New Roman" w:hAnsi="Times New Roman"/>
                <w:color w:val="auto"/>
                <w:sz w:val="24"/>
                <w:szCs w:val="24"/>
                <w:lang w:val="uk-UA"/>
              </w:rPr>
            </w:pP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6</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Час, що витрачатиметься суб’єктами господарювання та/або фізичними особами, пов’язаними з виконанням вимог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год.</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0</w:t>
            </w: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7</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 xml:space="preserve">Рівень поінформованості </w:t>
            </w:r>
            <w:r>
              <w:rPr>
                <w:rFonts w:ascii="Times New Roman" w:hAnsi="Times New Roman"/>
                <w:color w:val="auto"/>
                <w:sz w:val="24"/>
                <w:szCs w:val="24"/>
                <w:lang w:val="uk-UA"/>
              </w:rPr>
              <w:lastRenderedPageBreak/>
              <w:t xml:space="preserve">суб’єктів господарювання та/або фізичних осіб з основних положень </w:t>
            </w:r>
            <w:proofErr w:type="spellStart"/>
            <w:r>
              <w:rPr>
                <w:rFonts w:ascii="Times New Roman" w:hAnsi="Times New Roman"/>
                <w:color w:val="auto"/>
                <w:sz w:val="24"/>
                <w:szCs w:val="24"/>
                <w:lang w:val="uk-UA"/>
              </w:rPr>
              <w:t>акта</w:t>
            </w:r>
            <w:proofErr w:type="spellEnd"/>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lastRenderedPageBreak/>
              <w:t>%</w:t>
            </w:r>
          </w:p>
        </w:tc>
        <w:tc>
          <w:tcPr>
            <w:tcW w:w="0" w:type="auto"/>
            <w:shd w:val="clear" w:color="auto" w:fill="auto"/>
          </w:tcPr>
          <w:p w:rsidR="00CE623E" w:rsidRPr="00CE623E" w:rsidRDefault="00CE623E" w:rsidP="00CE623E">
            <w:pPr>
              <w:pStyle w:val="af"/>
              <w:spacing w:line="240" w:lineRule="auto"/>
              <w:rPr>
                <w:rFonts w:ascii="Times New Roman" w:hAnsi="Times New Roman"/>
                <w:color w:val="auto"/>
                <w:sz w:val="24"/>
                <w:szCs w:val="24"/>
                <w:lang w:val="uk-UA"/>
              </w:rPr>
            </w:pPr>
            <w:r w:rsidRPr="00CE623E">
              <w:rPr>
                <w:rFonts w:ascii="Times New Roman" w:hAnsi="Times New Roman"/>
                <w:color w:val="auto"/>
                <w:sz w:val="24"/>
                <w:szCs w:val="24"/>
                <w:lang w:val="uk-UA"/>
              </w:rPr>
              <w:t xml:space="preserve">Відповідно до частини п’ятої статті 12 Закону </w:t>
            </w:r>
            <w:r w:rsidRPr="00CE623E">
              <w:rPr>
                <w:rFonts w:ascii="Times New Roman" w:hAnsi="Times New Roman"/>
                <w:color w:val="auto"/>
                <w:sz w:val="24"/>
                <w:szCs w:val="24"/>
                <w:lang w:val="uk-UA"/>
              </w:rPr>
              <w:lastRenderedPageBreak/>
              <w:t>України «Про засади державної регуляторної політики у сфері господарської діяльності» рівень поінформованості суб’єктів господарювання з основних положень рішення визначається кількістю осіб, що:</w:t>
            </w:r>
          </w:p>
          <w:p w:rsidR="00CE623E" w:rsidRPr="00CE623E" w:rsidRDefault="00CE623E" w:rsidP="00CE623E">
            <w:pPr>
              <w:pStyle w:val="af"/>
              <w:spacing w:line="240" w:lineRule="auto"/>
              <w:rPr>
                <w:rFonts w:ascii="Times New Roman" w:hAnsi="Times New Roman"/>
                <w:color w:val="auto"/>
                <w:sz w:val="24"/>
                <w:szCs w:val="24"/>
                <w:lang w:val="uk-UA"/>
              </w:rPr>
            </w:pPr>
            <w:r w:rsidRPr="00CE623E">
              <w:rPr>
                <w:rFonts w:ascii="Times New Roman" w:hAnsi="Times New Roman"/>
                <w:color w:val="auto"/>
                <w:sz w:val="24"/>
                <w:szCs w:val="24"/>
                <w:lang w:val="uk-UA"/>
              </w:rPr>
              <w:t>Ознайомляться з зазначеним рішенням у приміщенні виконавчого комітету Білоцерківської сільської ради;</w:t>
            </w:r>
          </w:p>
          <w:p w:rsidR="00CE623E" w:rsidRPr="00CE623E" w:rsidRDefault="00CE623E" w:rsidP="00CE623E">
            <w:pPr>
              <w:pStyle w:val="af"/>
              <w:spacing w:line="240" w:lineRule="auto"/>
              <w:rPr>
                <w:rFonts w:ascii="Times New Roman" w:hAnsi="Times New Roman"/>
                <w:color w:val="auto"/>
                <w:sz w:val="24"/>
                <w:szCs w:val="24"/>
                <w:lang w:val="uk-UA"/>
              </w:rPr>
            </w:pPr>
            <w:r w:rsidRPr="00CE623E">
              <w:rPr>
                <w:rFonts w:ascii="Times New Roman" w:hAnsi="Times New Roman"/>
                <w:color w:val="auto"/>
                <w:sz w:val="24"/>
                <w:szCs w:val="24"/>
                <w:lang w:val="uk-UA"/>
              </w:rPr>
              <w:t>Ознайомляться і отримають інформацію щодо рішення у Великобагачанському відділенні Миргородської ОДПІ ГУ у Полтавській області;</w:t>
            </w:r>
          </w:p>
          <w:p w:rsidR="00CE623E" w:rsidRPr="00CE623E" w:rsidRDefault="00CE623E" w:rsidP="00CE623E">
            <w:pPr>
              <w:pStyle w:val="af"/>
              <w:spacing w:line="240" w:lineRule="auto"/>
              <w:rPr>
                <w:rFonts w:ascii="Times New Roman" w:hAnsi="Times New Roman"/>
                <w:color w:val="auto"/>
                <w:sz w:val="24"/>
                <w:szCs w:val="24"/>
                <w:lang w:val="uk-UA"/>
              </w:rPr>
            </w:pPr>
            <w:r w:rsidRPr="00CE623E">
              <w:rPr>
                <w:rFonts w:ascii="Times New Roman" w:hAnsi="Times New Roman"/>
                <w:color w:val="auto"/>
                <w:sz w:val="24"/>
                <w:szCs w:val="24"/>
                <w:lang w:val="uk-UA"/>
              </w:rPr>
              <w:t>Ознайомляться з регуляторним актом на офіційній веб-сторінці Білоцерківської сільської ради в мережі інтернет http://biloteg.org.ua, розділ «Документи», підрозділ «Регуляторні акти»;</w:t>
            </w:r>
          </w:p>
          <w:p w:rsidR="00CE623E" w:rsidRDefault="00CE623E" w:rsidP="00CE623E">
            <w:pPr>
              <w:pStyle w:val="af"/>
              <w:spacing w:line="240" w:lineRule="auto"/>
              <w:rPr>
                <w:rFonts w:ascii="Times New Roman" w:hAnsi="Times New Roman"/>
                <w:color w:val="auto"/>
                <w:sz w:val="24"/>
                <w:szCs w:val="24"/>
                <w:lang w:val="uk-UA"/>
              </w:rPr>
            </w:pPr>
            <w:r w:rsidRPr="00CE623E">
              <w:rPr>
                <w:rFonts w:ascii="Times New Roman" w:hAnsi="Times New Roman"/>
                <w:color w:val="auto"/>
                <w:sz w:val="24"/>
                <w:szCs w:val="24"/>
                <w:lang w:val="uk-UA"/>
              </w:rPr>
              <w:t>Отримають регуляторний акт за запитом до органу місцевого самоврядування.</w:t>
            </w:r>
          </w:p>
        </w:tc>
      </w:tr>
      <w:tr w:rsidR="00CE623E" w:rsidTr="00CE623E">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lastRenderedPageBreak/>
              <w:t>8</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Очікуваний обсяг надходжень податку на нерухоме майно відмінне від земельної ділянки</w:t>
            </w:r>
          </w:p>
        </w:tc>
        <w:tc>
          <w:tcPr>
            <w:tcW w:w="0" w:type="auto"/>
            <w:shd w:val="clear" w:color="auto" w:fill="auto"/>
          </w:tcPr>
          <w:p w:rsidR="00CE623E" w:rsidRDefault="00CE623E">
            <w:pPr>
              <w:pStyle w:val="af"/>
              <w:spacing w:line="240" w:lineRule="auto"/>
              <w:rPr>
                <w:rFonts w:ascii="Times New Roman" w:hAnsi="Times New Roman"/>
                <w:color w:val="auto"/>
                <w:sz w:val="24"/>
                <w:szCs w:val="24"/>
                <w:lang w:val="uk-UA"/>
              </w:rPr>
            </w:pPr>
            <w:r>
              <w:rPr>
                <w:rFonts w:ascii="Times New Roman" w:hAnsi="Times New Roman"/>
                <w:color w:val="auto"/>
                <w:sz w:val="24"/>
                <w:szCs w:val="24"/>
                <w:lang w:val="uk-UA"/>
              </w:rPr>
              <w:t>тис. грн.</w:t>
            </w:r>
          </w:p>
        </w:tc>
        <w:tc>
          <w:tcPr>
            <w:tcW w:w="0" w:type="auto"/>
            <w:shd w:val="clear" w:color="auto" w:fill="auto"/>
          </w:tcPr>
          <w:p w:rsidR="00CE623E" w:rsidRDefault="00CE623E">
            <w:pPr>
              <w:spacing w:line="240" w:lineRule="auto"/>
              <w:rPr>
                <w:rFonts w:ascii="Times New Roman" w:hAnsi="Times New Roman"/>
                <w:color w:val="auto"/>
                <w:sz w:val="24"/>
                <w:szCs w:val="24"/>
                <w:lang w:val="uk-UA"/>
              </w:rPr>
            </w:pPr>
            <w:r>
              <w:rPr>
                <w:rFonts w:ascii="Times New Roman" w:hAnsi="Times New Roman" w:cs="Times New Roman"/>
                <w:color w:val="auto"/>
                <w:sz w:val="24"/>
                <w:szCs w:val="24"/>
                <w:lang w:val="uk-UA"/>
              </w:rPr>
              <w:t>604,013</w:t>
            </w:r>
          </w:p>
          <w:p w:rsidR="00CE623E" w:rsidRDefault="00CE623E">
            <w:pPr>
              <w:spacing w:line="240" w:lineRule="auto"/>
              <w:rPr>
                <w:rFonts w:ascii="Times New Roman" w:hAnsi="Times New Roman"/>
                <w:color w:val="auto"/>
                <w:sz w:val="24"/>
                <w:szCs w:val="24"/>
                <w:lang w:val="uk-UA"/>
              </w:rPr>
            </w:pPr>
          </w:p>
        </w:tc>
      </w:tr>
    </w:tbl>
    <w:p w:rsidR="00A342B7" w:rsidRDefault="00A342B7">
      <w:pPr>
        <w:pStyle w:val="Textbody"/>
        <w:spacing w:after="0" w:line="240" w:lineRule="auto"/>
        <w:rPr>
          <w:rFonts w:ascii="Times New Roman" w:hAnsi="Times New Roman"/>
          <w:color w:val="auto"/>
          <w:sz w:val="28"/>
          <w:szCs w:val="28"/>
          <w:lang w:val="uk-UA"/>
        </w:rPr>
      </w:pPr>
    </w:p>
    <w:p w:rsidR="00A342B7" w:rsidRDefault="00CE623E">
      <w:pPr>
        <w:pStyle w:val="Textbody"/>
        <w:shd w:val="clear" w:color="auto" w:fill="FFFFFF"/>
        <w:spacing w:after="0" w:line="240" w:lineRule="auto"/>
        <w:jc w:val="center"/>
        <w:rPr>
          <w:rFonts w:ascii="Times New Roman" w:hAnsi="Times New Roman"/>
          <w:b/>
          <w:bCs/>
          <w:color w:val="auto"/>
          <w:sz w:val="32"/>
          <w:szCs w:val="32"/>
          <w:lang w:val="uk-UA"/>
        </w:rPr>
      </w:pPr>
      <w:r>
        <w:rPr>
          <w:rFonts w:ascii="Times New Roman" w:hAnsi="Times New Roman"/>
          <w:b/>
          <w:bCs/>
          <w:color w:val="auto"/>
          <w:sz w:val="32"/>
          <w:szCs w:val="32"/>
          <w:lang w:val="uk-UA"/>
        </w:rPr>
        <w:t xml:space="preserve">IX. Визначення заходів, за допомогою яких здійснюватиметься відстеження результативності дії регуляторного </w:t>
      </w:r>
      <w:proofErr w:type="spellStart"/>
      <w:r>
        <w:rPr>
          <w:rFonts w:ascii="Times New Roman" w:hAnsi="Times New Roman"/>
          <w:b/>
          <w:bCs/>
          <w:color w:val="auto"/>
          <w:sz w:val="32"/>
          <w:szCs w:val="32"/>
          <w:lang w:val="uk-UA"/>
        </w:rPr>
        <w:t>акта</w:t>
      </w:r>
      <w:proofErr w:type="spellEnd"/>
    </w:p>
    <w:p w:rsidR="00A342B7" w:rsidRDefault="00CE623E">
      <w:pPr>
        <w:pStyle w:val="Textbody"/>
        <w:shd w:val="clear" w:color="auto" w:fill="FFFFFF"/>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 xml:space="preserve">Строки проведення </w:t>
      </w:r>
      <w:r>
        <w:rPr>
          <w:rFonts w:ascii="Times New Roman" w:hAnsi="Times New Roman"/>
          <w:b/>
          <w:bCs/>
          <w:color w:val="auto"/>
          <w:sz w:val="28"/>
          <w:szCs w:val="28"/>
          <w:lang w:val="uk-UA"/>
        </w:rPr>
        <w:t xml:space="preserve">базового відстеження результативності дії регуляторного </w:t>
      </w:r>
      <w:proofErr w:type="spellStart"/>
      <w:r>
        <w:rPr>
          <w:rFonts w:ascii="Times New Roman" w:hAnsi="Times New Roman"/>
          <w:b/>
          <w:bCs/>
          <w:color w:val="auto"/>
          <w:sz w:val="28"/>
          <w:szCs w:val="28"/>
          <w:lang w:val="uk-UA"/>
        </w:rPr>
        <w:t>акта</w:t>
      </w:r>
      <w:proofErr w:type="spellEnd"/>
      <w:r>
        <w:rPr>
          <w:rFonts w:ascii="Times New Roman" w:hAnsi="Times New Roman"/>
          <w:b/>
          <w:bCs/>
          <w:color w:val="auto"/>
          <w:sz w:val="28"/>
          <w:szCs w:val="28"/>
          <w:lang w:val="uk-UA"/>
        </w:rPr>
        <w:t>:</w:t>
      </w:r>
    </w:p>
    <w:p w:rsidR="00A342B7" w:rsidRDefault="00CE623E">
      <w:pPr>
        <w:pStyle w:val="Textbody"/>
        <w:shd w:val="clear" w:color="auto" w:fill="FFFFFF"/>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Базове відстеження результативності регуляторного </w:t>
      </w:r>
      <w:proofErr w:type="spellStart"/>
      <w:r>
        <w:rPr>
          <w:rFonts w:ascii="Times New Roman" w:hAnsi="Times New Roman"/>
          <w:color w:val="auto"/>
          <w:sz w:val="28"/>
          <w:szCs w:val="28"/>
          <w:lang w:val="uk-UA"/>
        </w:rPr>
        <w:t>акта</w:t>
      </w:r>
      <w:proofErr w:type="spellEnd"/>
      <w:r>
        <w:rPr>
          <w:rFonts w:ascii="Times New Roman" w:hAnsi="Times New Roman"/>
          <w:color w:val="auto"/>
          <w:sz w:val="28"/>
          <w:szCs w:val="28"/>
          <w:lang w:val="uk-UA"/>
        </w:rPr>
        <w:t xml:space="preserve"> буде здійснюватися до дня набрання чинності цим регуляторним актом.</w:t>
      </w:r>
    </w:p>
    <w:p w:rsidR="00A342B7" w:rsidRDefault="00CE623E">
      <w:pPr>
        <w:pStyle w:val="Textbody"/>
        <w:shd w:val="clear" w:color="auto" w:fill="FFFFFF"/>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Строки проведення повторного відстеження результативності дії регулятор</w:t>
      </w:r>
      <w:r>
        <w:rPr>
          <w:rFonts w:ascii="Times New Roman" w:hAnsi="Times New Roman"/>
          <w:b/>
          <w:bCs/>
          <w:color w:val="auto"/>
          <w:sz w:val="28"/>
          <w:szCs w:val="28"/>
          <w:lang w:val="uk-UA"/>
        </w:rPr>
        <w:t xml:space="preserve">ного </w:t>
      </w:r>
      <w:proofErr w:type="spellStart"/>
      <w:r>
        <w:rPr>
          <w:rFonts w:ascii="Times New Roman" w:hAnsi="Times New Roman"/>
          <w:b/>
          <w:bCs/>
          <w:color w:val="auto"/>
          <w:sz w:val="28"/>
          <w:szCs w:val="28"/>
          <w:lang w:val="uk-UA"/>
        </w:rPr>
        <w:t>акта</w:t>
      </w:r>
      <w:proofErr w:type="spellEnd"/>
      <w:r>
        <w:rPr>
          <w:rFonts w:ascii="Times New Roman" w:hAnsi="Times New Roman"/>
          <w:b/>
          <w:bCs/>
          <w:color w:val="auto"/>
          <w:sz w:val="28"/>
          <w:szCs w:val="28"/>
          <w:lang w:val="uk-UA"/>
        </w:rPr>
        <w:t>:</w:t>
      </w:r>
    </w:p>
    <w:p w:rsidR="00A342B7" w:rsidRDefault="00CE623E">
      <w:pPr>
        <w:pStyle w:val="Textbody"/>
        <w:shd w:val="clear" w:color="auto" w:fill="FFFFFF"/>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У зв’язку з тим, що термін дії регуляторного </w:t>
      </w:r>
      <w:proofErr w:type="spellStart"/>
      <w:r>
        <w:rPr>
          <w:rFonts w:ascii="Times New Roman" w:hAnsi="Times New Roman"/>
          <w:color w:val="auto"/>
          <w:sz w:val="28"/>
          <w:szCs w:val="28"/>
          <w:lang w:val="uk-UA"/>
        </w:rPr>
        <w:t>акта</w:t>
      </w:r>
      <w:proofErr w:type="spellEnd"/>
      <w:r>
        <w:rPr>
          <w:rFonts w:ascii="Times New Roman" w:hAnsi="Times New Roman"/>
          <w:color w:val="auto"/>
          <w:sz w:val="28"/>
          <w:szCs w:val="28"/>
          <w:lang w:val="uk-UA"/>
        </w:rPr>
        <w:t xml:space="preserve"> становить 1 рік, повторне відстеження результативності буде здійснюватися за три місяці до закінчення терміну дії регуляторного </w:t>
      </w:r>
      <w:proofErr w:type="spellStart"/>
      <w:r>
        <w:rPr>
          <w:rFonts w:ascii="Times New Roman" w:hAnsi="Times New Roman"/>
          <w:color w:val="auto"/>
          <w:sz w:val="28"/>
          <w:szCs w:val="28"/>
          <w:lang w:val="uk-UA"/>
        </w:rPr>
        <w:t>акта</w:t>
      </w:r>
      <w:proofErr w:type="spellEnd"/>
      <w:r>
        <w:rPr>
          <w:rFonts w:ascii="Times New Roman" w:hAnsi="Times New Roman"/>
          <w:color w:val="auto"/>
          <w:sz w:val="28"/>
          <w:szCs w:val="28"/>
          <w:lang w:val="uk-UA"/>
        </w:rPr>
        <w:t xml:space="preserve">. </w:t>
      </w:r>
    </w:p>
    <w:p w:rsidR="00A342B7" w:rsidRDefault="00CE623E">
      <w:pPr>
        <w:pStyle w:val="Textbody"/>
        <w:spacing w:after="0" w:line="240" w:lineRule="auto"/>
        <w:ind w:firstLine="709"/>
        <w:rPr>
          <w:rFonts w:ascii="Times New Roman" w:hAnsi="Times New Roman"/>
          <w:b/>
          <w:bCs/>
          <w:color w:val="auto"/>
          <w:sz w:val="28"/>
          <w:szCs w:val="28"/>
          <w:lang w:val="uk-UA"/>
        </w:rPr>
      </w:pPr>
      <w:r>
        <w:rPr>
          <w:rFonts w:ascii="Times New Roman" w:hAnsi="Times New Roman"/>
          <w:b/>
          <w:bCs/>
          <w:color w:val="auto"/>
          <w:sz w:val="28"/>
          <w:szCs w:val="28"/>
          <w:lang w:val="uk-UA"/>
        </w:rPr>
        <w:t>Метод проведення відстеження результативності:</w:t>
      </w:r>
    </w:p>
    <w:p w:rsidR="00A342B7" w:rsidRDefault="00CE623E">
      <w:pPr>
        <w:pStyle w:val="Textbody"/>
        <w:shd w:val="clear" w:color="auto" w:fill="FFFFFF"/>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Статистичний</w:t>
      </w:r>
    </w:p>
    <w:p w:rsidR="00A342B7" w:rsidRDefault="00CE623E">
      <w:pPr>
        <w:pStyle w:val="Textbody"/>
        <w:spacing w:after="0" w:line="240" w:lineRule="auto"/>
        <w:ind w:firstLine="709"/>
        <w:jc w:val="both"/>
        <w:rPr>
          <w:rFonts w:ascii="Times New Roman" w:hAnsi="Times New Roman"/>
          <w:b/>
          <w:bCs/>
          <w:color w:val="auto"/>
          <w:sz w:val="28"/>
          <w:szCs w:val="28"/>
          <w:lang w:val="uk-UA"/>
        </w:rPr>
      </w:pPr>
      <w:r>
        <w:rPr>
          <w:rFonts w:ascii="Times New Roman" w:hAnsi="Times New Roman"/>
          <w:b/>
          <w:bCs/>
          <w:color w:val="auto"/>
          <w:sz w:val="28"/>
          <w:szCs w:val="28"/>
          <w:lang w:val="uk-UA"/>
        </w:rPr>
        <w:t>Вид даних, за допомогою яких здійснюватиметься відстеження результативності:</w:t>
      </w:r>
    </w:p>
    <w:p w:rsidR="00A342B7" w:rsidRDefault="00CE623E">
      <w:pPr>
        <w:pStyle w:val="Textbody"/>
        <w:shd w:val="clear" w:color="auto" w:fill="FFFFFF"/>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Статистичні</w:t>
      </w:r>
    </w:p>
    <w:p w:rsidR="00A342B7" w:rsidRDefault="00A342B7">
      <w:pPr>
        <w:pStyle w:val="Textbody"/>
        <w:shd w:val="clear" w:color="auto" w:fill="FFFFFF"/>
        <w:spacing w:after="0" w:line="240" w:lineRule="auto"/>
        <w:ind w:firstLine="709"/>
        <w:jc w:val="both"/>
        <w:rPr>
          <w:rFonts w:ascii="Times New Roman" w:hAnsi="Times New Roman"/>
          <w:color w:val="auto"/>
          <w:sz w:val="28"/>
          <w:szCs w:val="28"/>
          <w:lang w:val="uk-UA"/>
        </w:rPr>
      </w:pPr>
    </w:p>
    <w:p w:rsidR="00A342B7" w:rsidRDefault="00A342B7">
      <w:pPr>
        <w:pStyle w:val="Textbody"/>
        <w:shd w:val="clear" w:color="auto" w:fill="FFFFFF"/>
        <w:spacing w:after="0" w:line="240" w:lineRule="auto"/>
        <w:ind w:firstLine="709"/>
        <w:jc w:val="both"/>
        <w:rPr>
          <w:rFonts w:ascii="Times New Roman" w:hAnsi="Times New Roman"/>
          <w:color w:val="auto"/>
          <w:sz w:val="28"/>
          <w:szCs w:val="28"/>
          <w:lang w:val="uk-UA"/>
        </w:rPr>
      </w:pPr>
    </w:p>
    <w:p w:rsidR="00A342B7" w:rsidRDefault="00A342B7">
      <w:pPr>
        <w:pStyle w:val="Textbody"/>
        <w:shd w:val="clear" w:color="auto" w:fill="FFFFFF"/>
        <w:spacing w:after="0" w:line="240" w:lineRule="auto"/>
        <w:ind w:firstLine="709"/>
        <w:jc w:val="both"/>
        <w:rPr>
          <w:rFonts w:ascii="Times New Roman" w:hAnsi="Times New Roman"/>
          <w:color w:val="auto"/>
          <w:sz w:val="28"/>
          <w:szCs w:val="28"/>
          <w:lang w:val="uk-UA"/>
        </w:rPr>
      </w:pPr>
    </w:p>
    <w:p w:rsidR="00A342B7" w:rsidRDefault="00CE623E">
      <w:pPr>
        <w:pStyle w:val="Textbody"/>
        <w:shd w:val="clear" w:color="auto" w:fill="FFFFFF"/>
        <w:spacing w:after="0" w:line="24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Сільський голова</w:t>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r>
      <w:r>
        <w:rPr>
          <w:rFonts w:ascii="Times New Roman" w:hAnsi="Times New Roman"/>
          <w:color w:val="auto"/>
          <w:sz w:val="28"/>
          <w:szCs w:val="28"/>
          <w:lang w:val="uk-UA"/>
        </w:rPr>
        <w:tab/>
        <w:t>І.В. Лещенко</w:t>
      </w:r>
    </w:p>
    <w:p w:rsidR="00A342B7" w:rsidRDefault="00A342B7">
      <w:pPr>
        <w:pStyle w:val="Textbody"/>
        <w:spacing w:after="0" w:line="240" w:lineRule="auto"/>
        <w:jc w:val="both"/>
        <w:rPr>
          <w:rFonts w:ascii="Times New Roman" w:hAnsi="Times New Roman"/>
          <w:color w:val="auto"/>
          <w:sz w:val="28"/>
          <w:szCs w:val="28"/>
          <w:lang w:val="uk-UA"/>
        </w:rPr>
      </w:pPr>
    </w:p>
    <w:sectPr w:rsidR="00A342B7">
      <w:pgSz w:w="11906" w:h="16838"/>
      <w:pgMar w:top="850" w:right="851" w:bottom="850" w:left="1418"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adea">
    <w:altName w:val="Cambria"/>
    <w:panose1 w:val="02040503050406030204"/>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34E3"/>
    <w:multiLevelType w:val="multilevel"/>
    <w:tmpl w:val="4D923AD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12354121"/>
    <w:multiLevelType w:val="multilevel"/>
    <w:tmpl w:val="A8BCB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71339A"/>
    <w:multiLevelType w:val="multilevel"/>
    <w:tmpl w:val="CE9A646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5FD64F3F"/>
    <w:multiLevelType w:val="multilevel"/>
    <w:tmpl w:val="F3F0CA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67C4E60"/>
    <w:multiLevelType w:val="multilevel"/>
    <w:tmpl w:val="0D1064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autoHyphenation/>
  <w:hyphenationZone w:val="425"/>
  <w:characterSpacingControl w:val="doNotCompress"/>
  <w:compat>
    <w:compatSetting w:name="compatibilityMode" w:uri="http://schemas.microsoft.com/office/word" w:val="12"/>
  </w:compat>
  <w:rsids>
    <w:rsidRoot w:val="00A342B7"/>
    <w:rsid w:val="00A342B7"/>
    <w:rsid w:val="00CE62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kern w:val="2"/>
        <w:szCs w:val="22"/>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textAlignment w:val="baseline"/>
    </w:pPr>
    <w:rPr>
      <w:sz w:val="22"/>
    </w:rPr>
  </w:style>
  <w:style w:type="paragraph" w:styleId="1">
    <w:name w:val="heading 1"/>
    <w:basedOn w:val="a"/>
    <w:next w:val="Standard"/>
    <w:qFormat/>
    <w:pPr>
      <w:keepNext/>
      <w:keepLines/>
      <w:spacing w:before="400" w:after="120" w:line="240" w:lineRule="auto"/>
      <w:outlineLvl w:val="0"/>
    </w:pPr>
    <w:rPr>
      <w:sz w:val="40"/>
      <w:szCs w:val="40"/>
    </w:rPr>
  </w:style>
  <w:style w:type="paragraph" w:styleId="2">
    <w:name w:val="heading 2"/>
    <w:basedOn w:val="a"/>
    <w:next w:val="Standard"/>
    <w:qFormat/>
    <w:pPr>
      <w:keepNext/>
      <w:keepLines/>
      <w:spacing w:before="360" w:after="120" w:line="240" w:lineRule="auto"/>
      <w:outlineLvl w:val="1"/>
    </w:pPr>
    <w:rPr>
      <w:sz w:val="32"/>
      <w:szCs w:val="32"/>
    </w:rPr>
  </w:style>
  <w:style w:type="paragraph" w:styleId="3">
    <w:name w:val="heading 3"/>
    <w:basedOn w:val="a"/>
    <w:next w:val="Standard"/>
    <w:qFormat/>
    <w:pPr>
      <w:keepNext/>
      <w:keepLines/>
      <w:spacing w:before="320" w:after="80" w:line="240" w:lineRule="auto"/>
      <w:outlineLvl w:val="2"/>
    </w:pPr>
    <w:rPr>
      <w:color w:val="434343"/>
      <w:sz w:val="28"/>
      <w:szCs w:val="28"/>
    </w:rPr>
  </w:style>
  <w:style w:type="paragraph" w:styleId="4">
    <w:name w:val="heading 4"/>
    <w:basedOn w:val="a"/>
    <w:next w:val="Standard"/>
    <w:qFormat/>
    <w:pPr>
      <w:keepNext/>
      <w:keepLines/>
      <w:spacing w:before="280" w:after="80" w:line="240" w:lineRule="auto"/>
      <w:outlineLvl w:val="3"/>
    </w:pPr>
    <w:rPr>
      <w:color w:val="666666"/>
      <w:sz w:val="24"/>
      <w:szCs w:val="24"/>
    </w:rPr>
  </w:style>
  <w:style w:type="paragraph" w:styleId="5">
    <w:name w:val="heading 5"/>
    <w:basedOn w:val="a"/>
    <w:next w:val="Standard"/>
    <w:qFormat/>
    <w:pPr>
      <w:keepNext/>
      <w:keepLines/>
      <w:spacing w:before="240" w:after="80" w:line="240" w:lineRule="auto"/>
      <w:outlineLvl w:val="4"/>
    </w:pPr>
    <w:rPr>
      <w:color w:val="666666"/>
    </w:rPr>
  </w:style>
  <w:style w:type="paragraph" w:styleId="6">
    <w:name w:val="heading 6"/>
    <w:basedOn w:val="a"/>
    <w:next w:val="Standard"/>
    <w:qFormat/>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и списку"/>
    <w:qFormat/>
    <w:rPr>
      <w:rFonts w:ascii="OpenSymbol" w:eastAsia="OpenSymbol" w:hAnsi="OpenSymbol" w:cs="OpenSymbol"/>
    </w:rPr>
  </w:style>
  <w:style w:type="character" w:customStyle="1" w:styleId="a4">
    <w:name w:val="Символ нумерації"/>
    <w:qFormat/>
  </w:style>
  <w:style w:type="character" w:styleId="a5">
    <w:name w:val="Strong"/>
    <w:basedOn w:val="a0"/>
    <w:uiPriority w:val="22"/>
    <w:qFormat/>
    <w:rsid w:val="00B9487A"/>
    <w:rPr>
      <w:b/>
      <w:bCs/>
    </w:rPr>
  </w:style>
  <w:style w:type="paragraph" w:customStyle="1" w:styleId="a6">
    <w:name w:val="Заголовок"/>
    <w:basedOn w:val="Standard"/>
    <w:next w:val="Textbody"/>
    <w:qFormat/>
    <w:pPr>
      <w:keepNext/>
      <w:spacing w:before="240" w:after="120"/>
    </w:pPr>
    <w:rPr>
      <w:rFonts w:ascii="Caladea" w:eastAsia="Caladea" w:hAnsi="Caladea" w:cs="Caladea"/>
      <w:sz w:val="28"/>
      <w:szCs w:val="28"/>
    </w:rPr>
  </w:style>
  <w:style w:type="paragraph" w:styleId="a7">
    <w:name w:val="Body Text"/>
    <w:basedOn w:val="a"/>
    <w:pPr>
      <w:spacing w:after="140"/>
    </w:pPr>
  </w:style>
  <w:style w:type="paragraph" w:styleId="a8">
    <w:name w:val="List"/>
    <w:basedOn w:val="Textbody"/>
    <w:rPr>
      <w:sz w:val="24"/>
    </w:rPr>
  </w:style>
  <w:style w:type="paragraph" w:styleId="a9">
    <w:name w:val="caption"/>
    <w:basedOn w:val="Standard"/>
    <w:qFormat/>
    <w:pPr>
      <w:suppressLineNumbers/>
      <w:spacing w:before="120" w:after="120"/>
    </w:pPr>
    <w:rPr>
      <w:i/>
      <w:iCs/>
      <w:sz w:val="24"/>
      <w:szCs w:val="24"/>
    </w:rPr>
  </w:style>
  <w:style w:type="paragraph" w:customStyle="1" w:styleId="aa">
    <w:name w:val="Покажчик"/>
    <w:basedOn w:val="Standard"/>
    <w:qFormat/>
    <w:pPr>
      <w:suppressLineNumbers/>
    </w:pPr>
    <w:rPr>
      <w:sz w:val="24"/>
    </w:rPr>
  </w:style>
  <w:style w:type="paragraph" w:customStyle="1" w:styleId="Standard">
    <w:name w:val="Standard"/>
    <w:qFormat/>
    <w:pPr>
      <w:spacing w:line="276" w:lineRule="auto"/>
      <w:textAlignment w:val="baseline"/>
    </w:pPr>
    <w:rPr>
      <w:sz w:val="22"/>
    </w:rPr>
  </w:style>
  <w:style w:type="paragraph" w:customStyle="1" w:styleId="Textbody">
    <w:name w:val="Text body"/>
    <w:basedOn w:val="Standard"/>
    <w:qFormat/>
    <w:pPr>
      <w:spacing w:after="140" w:line="288" w:lineRule="auto"/>
    </w:pPr>
  </w:style>
  <w:style w:type="paragraph" w:styleId="ab">
    <w:name w:val="Title"/>
    <w:basedOn w:val="a"/>
    <w:next w:val="Standard"/>
    <w:qFormat/>
    <w:pPr>
      <w:keepNext/>
      <w:keepLines/>
      <w:spacing w:after="60" w:line="240" w:lineRule="auto"/>
    </w:pPr>
    <w:rPr>
      <w:sz w:val="52"/>
      <w:szCs w:val="52"/>
    </w:rPr>
  </w:style>
  <w:style w:type="paragraph" w:styleId="ac">
    <w:name w:val="Subtitle"/>
    <w:basedOn w:val="a"/>
    <w:next w:val="Standard"/>
    <w:qFormat/>
    <w:pPr>
      <w:keepNext/>
      <w:keepLines/>
      <w:spacing w:after="320" w:line="240" w:lineRule="auto"/>
    </w:pPr>
    <w:rPr>
      <w:color w:val="666666"/>
      <w:sz w:val="30"/>
      <w:szCs w:val="30"/>
    </w:rPr>
  </w:style>
  <w:style w:type="paragraph" w:customStyle="1" w:styleId="ad">
    <w:name w:val="Верхній і нижній колонтитули"/>
    <w:basedOn w:val="a"/>
    <w:qFormat/>
  </w:style>
  <w:style w:type="paragraph" w:styleId="ae">
    <w:name w:val="header"/>
    <w:basedOn w:val="Standard"/>
  </w:style>
  <w:style w:type="paragraph" w:customStyle="1" w:styleId="af">
    <w:name w:val="Вміст таблиці"/>
    <w:basedOn w:val="Standard"/>
    <w:qFormat/>
  </w:style>
  <w:style w:type="paragraph" w:customStyle="1" w:styleId="af0">
    <w:name w:val="Текст у вказаному форматі"/>
    <w:basedOn w:val="Standard"/>
    <w:qFormat/>
  </w:style>
  <w:style w:type="paragraph" w:customStyle="1" w:styleId="af1">
    <w:name w:val="Заголовок таблиці"/>
    <w:basedOn w:val="af"/>
    <w:qFormat/>
  </w:style>
  <w:style w:type="paragraph" w:styleId="af2">
    <w:name w:val="List Paragraph"/>
    <w:basedOn w:val="a"/>
    <w:uiPriority w:val="34"/>
    <w:qFormat/>
    <w:rsid w:val="00A80A16"/>
    <w:pPr>
      <w:ind w:left="720"/>
      <w:contextualSpacing/>
    </w:pPr>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3918</TotalTime>
  <Pages>14</Pages>
  <Words>17998</Words>
  <Characters>10260</Characters>
  <Application>Microsoft Office Word</Application>
  <DocSecurity>0</DocSecurity>
  <Lines>85</Lines>
  <Paragraphs>56</Paragraphs>
  <ScaleCrop>false</ScaleCrop>
  <Company>Bilotg</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1</cp:lastModifiedBy>
  <cp:revision>92</cp:revision>
  <dcterms:created xsi:type="dcterms:W3CDTF">2017-07-14T08:42:00Z</dcterms:created>
  <dcterms:modified xsi:type="dcterms:W3CDTF">2020-06-03T07:31:00Z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