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F1" w:rsidRDefault="0026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Експертний висновок</w:t>
      </w:r>
    </w:p>
    <w:p w:rsidR="00843EF1" w:rsidRDefault="002665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відповідальної постійної комісії з питань планування, фінансів, бюджету, соціально-економічного розвитку, житлово-комунального господарства та комунальної власності Білоцерківської сільської ради щодо проекту рішення «Про встановлення податку на нерухоме майно, відмінне від земельної ділянки, на території Білоцерківської сільської ради на 202</w:t>
      </w:r>
      <w:r w:rsidR="00472918" w:rsidRPr="0047291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рік» та аналізу його регуляторного впливу</w:t>
      </w:r>
    </w:p>
    <w:p w:rsidR="00843EF1" w:rsidRDefault="00843E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</w:p>
    <w:p w:rsidR="00843EF1" w:rsidRDefault="00266552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Відповідальна постійна комісія Білоцерківської сільської ради з питань планування, фінансів, бюджету, соціально-економічного розвитку, житлово-комунального господарства та комунальної власності, керуючись статтями 4, 8, 34 Закону України «Про засади державної регуляторної політики у сфері господарської діяльності», розглянула проект рішення сільської ради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встановлення податку на нерухоме майно, відмінне від земельної ділянки, на території Білоцерківської сільської ради на 202</w:t>
      </w:r>
      <w:r w:rsidR="00472918" w:rsidRPr="0047291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  <w:r>
        <w:rPr>
          <w:rStyle w:val="3"/>
          <w:rFonts w:ascii="Times New Roman" w:hAnsi="Times New Roman"/>
          <w:b w:val="0"/>
          <w:bCs w:val="0"/>
          <w:lang w:eastAsia="uk-UA"/>
        </w:rPr>
        <w:t>»</w:t>
      </w:r>
      <w:r>
        <w:rPr>
          <w:rFonts w:ascii="Times New Roman" w:hAnsi="Times New Roman"/>
          <w:sz w:val="28"/>
          <w:szCs w:val="28"/>
        </w:rPr>
        <w:t xml:space="preserve"> з аналізом впливу регуляторного акту та встановила наступне.</w:t>
      </w:r>
    </w:p>
    <w:p w:rsidR="00843EF1" w:rsidRDefault="00266552">
      <w:pPr>
        <w:pStyle w:val="ae"/>
        <w:shd w:val="clear" w:color="auto" w:fill="FFFFFF"/>
        <w:spacing w:before="0" w:after="0" w:line="240" w:lineRule="auto"/>
        <w:ind w:firstLine="709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Розробником проекту регуляторного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акта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та аналізу його регуляторного впливу є виконавчий комітет Білоцерківської сільської ради Великобагачанського району Полтавської області. </w:t>
      </w:r>
    </w:p>
    <w:p w:rsidR="00843EF1" w:rsidRDefault="00266552">
      <w:pPr>
        <w:pStyle w:val="ae"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рішення підготовлений відповідно до норм Податкового кодексу України.</w:t>
      </w:r>
    </w:p>
    <w:p w:rsidR="00843EF1" w:rsidRDefault="00266552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Відповідність проекту регуляторного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акта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принципам державної регуляторної політики, встановлених статтею 4 Закону України «Про засади державної регуляторної політики у сфері господарської діяльності».</w:t>
      </w:r>
    </w:p>
    <w:p w:rsidR="00843EF1" w:rsidRDefault="00266552">
      <w:pPr>
        <w:spacing w:after="0" w:line="240" w:lineRule="auto"/>
        <w:ind w:firstLine="709"/>
        <w:jc w:val="both"/>
        <w:rPr>
          <w:rFonts w:ascii="Times New Roman" w:hAnsi="Times New Roman"/>
          <w:color w:val="00A9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Податковим кодексом України встановлено перелік місцевих податків і зборів у державі. Зокрема, відповідно до статті 10 Податкового кодексу України до місцевих податків віднесено податок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lang w:eastAsia="uk-UA"/>
        </w:rPr>
        <w:t>, обов'язок встановлення якого покладено на органи місцевого самоврядування.</w:t>
      </w:r>
    </w:p>
    <w:p w:rsidR="00843EF1" w:rsidRDefault="00266552">
      <w:pPr>
        <w:spacing w:after="0" w:line="240" w:lineRule="auto"/>
        <w:ind w:firstLine="709"/>
        <w:jc w:val="both"/>
        <w:rPr>
          <w:rFonts w:ascii="Times New Roman" w:hAnsi="Times New Roman"/>
          <w:color w:val="00A933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На виконання вимог Податкового кодексу України та з метою забезпечення додаткових надходжень до бюджету сільської ради, виникла необхідність прийняти рішення, яким встановлюється податок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нерухоме майно, відмінне від земельної ділянки</w:t>
      </w:r>
      <w:r>
        <w:rPr>
          <w:rFonts w:ascii="Times New Roman" w:hAnsi="Times New Roman"/>
          <w:sz w:val="28"/>
          <w:szCs w:val="28"/>
          <w:lang w:eastAsia="uk-UA"/>
        </w:rPr>
        <w:t xml:space="preserve"> на території сільської ради.</w:t>
      </w:r>
    </w:p>
    <w:p w:rsidR="00843EF1" w:rsidRDefault="00266552">
      <w:pPr>
        <w:pStyle w:val="ae"/>
        <w:spacing w:before="0" w:after="0" w:line="240" w:lineRule="auto"/>
        <w:ind w:firstLine="708"/>
        <w:jc w:val="both"/>
        <w:rPr>
          <w:rFonts w:ascii="Times New Roman" w:hAnsi="Times New Roman"/>
          <w:color w:val="00A9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рішення відповідає цілям державної регуляторної політики, його включено до плану діяльності з підготовки проектів регуляторних актів на 20</w:t>
      </w:r>
      <w:r w:rsidRPr="00472918">
        <w:rPr>
          <w:rFonts w:ascii="Times New Roman" w:hAnsi="Times New Roman"/>
          <w:sz w:val="28"/>
          <w:szCs w:val="28"/>
        </w:rPr>
        <w:t>2</w:t>
      </w:r>
      <w:r w:rsidR="00A7186A">
        <w:rPr>
          <w:rFonts w:ascii="Times New Roman" w:hAnsi="Times New Roman"/>
          <w:sz w:val="28"/>
          <w:szCs w:val="28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рік, проведені роботи з регуляторної процедури – повідомлення про оприлюднення проекту регуляторного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безпосередньо проект з аналізом його регуляторного впливу розміщено на офіційному веб-сайті Білоцерківської сільської ради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43EF1" w:rsidRDefault="00266552">
      <w:pPr>
        <w:pStyle w:val="ae"/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Таким чином, проект регуляторного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 проект рішення сільської ради </w:t>
      </w:r>
      <w:r>
        <w:rPr>
          <w:rStyle w:val="3"/>
          <w:rFonts w:ascii="Times New Roman" w:hAnsi="Times New Roman"/>
          <w:b w:val="0"/>
          <w:bCs w:val="0"/>
        </w:rPr>
        <w:t>«</w:t>
      </w:r>
      <w:r>
        <w:rPr>
          <w:rStyle w:val="3"/>
          <w:rFonts w:ascii="Times New Roman" w:eastAsia="Times New Roman" w:hAnsi="Times New Roman" w:cs="Times New Roman"/>
          <w:b w:val="0"/>
          <w:bCs w:val="0"/>
          <w:lang w:eastAsia="uk-UA"/>
        </w:rPr>
        <w:t>Про встановлення податку на нерухоме майно, відмінне від земельної ділянки, на території Білоцерківської сільської ради на 202</w:t>
      </w:r>
      <w:r w:rsidR="00472918" w:rsidRPr="00472918">
        <w:rPr>
          <w:rStyle w:val="3"/>
          <w:rFonts w:ascii="Times New Roman" w:eastAsia="Times New Roman" w:hAnsi="Times New Roman" w:cs="Times New Roman"/>
          <w:b w:val="0"/>
          <w:bCs w:val="0"/>
          <w:lang w:eastAsia="uk-UA"/>
        </w:rPr>
        <w:t>1</w:t>
      </w:r>
      <w:r>
        <w:rPr>
          <w:rStyle w:val="3"/>
          <w:rFonts w:ascii="Times New Roman" w:eastAsia="Times New Roman" w:hAnsi="Times New Roman" w:cs="Times New Roman"/>
          <w:b w:val="0"/>
          <w:bCs w:val="0"/>
          <w:lang w:eastAsia="uk-UA"/>
        </w:rPr>
        <w:t xml:space="preserve"> рік</w:t>
      </w:r>
      <w:r>
        <w:rPr>
          <w:rStyle w:val="3"/>
          <w:rFonts w:ascii="Times New Roman" w:hAnsi="Times New Roman"/>
          <w:b w:val="0"/>
          <w:bCs w:val="0"/>
          <w:lang w:eastAsia="uk-UA"/>
        </w:rPr>
        <w:t>»</w:t>
      </w:r>
      <w:r>
        <w:rPr>
          <w:rFonts w:ascii="Times New Roman" w:hAnsi="Times New Roman"/>
          <w:sz w:val="28"/>
          <w:szCs w:val="28"/>
        </w:rPr>
        <w:t xml:space="preserve"> з аналізом його регуляторного впливу відповідає усім принципам державної регуляторної політики, які встановлені статтею 4 Закону України «Про засади державної регуляторної політики у сфері господарської діяльності», а </w:t>
      </w:r>
      <w:r>
        <w:rPr>
          <w:rFonts w:ascii="Times New Roman" w:hAnsi="Times New Roman"/>
          <w:sz w:val="28"/>
          <w:szCs w:val="28"/>
        </w:rPr>
        <w:lastRenderedPageBreak/>
        <w:t>саме: доцільність, адекватність, ефективність, збалансованість, передбачуваність, прозорість та врахування громадської думки.</w:t>
      </w:r>
    </w:p>
    <w:p w:rsidR="00843EF1" w:rsidRDefault="00266552">
      <w:pPr>
        <w:tabs>
          <w:tab w:val="left" w:pos="1680"/>
        </w:tabs>
        <w:spacing w:after="0" w:line="240" w:lineRule="auto"/>
        <w:ind w:firstLine="560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 xml:space="preserve">2. Відповідність проекту регуляторного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акта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вимогам статті 8 Закону України «Про засади державної регуляторної політики у сфері господарської діяльності» щодо підготовки аналізу регуляторного впливу.</w:t>
      </w:r>
    </w:p>
    <w:p w:rsidR="00843EF1" w:rsidRDefault="00266552">
      <w:pPr>
        <w:pStyle w:val="ae"/>
        <w:spacing w:before="0" w:after="0" w:line="240" w:lineRule="auto"/>
        <w:ind w:firstLine="560"/>
        <w:jc w:val="both"/>
        <w:rPr>
          <w:rFonts w:ascii="Times New Roman" w:hAnsi="Times New Roman"/>
          <w:color w:val="00A9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вищевказаного проекту регуляторного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>, з метою одержання зауважень та пропозицій, було підготовлено аналіз регуляторного впливу.</w:t>
      </w:r>
    </w:p>
    <w:p w:rsidR="00843EF1" w:rsidRDefault="00266552">
      <w:pPr>
        <w:pStyle w:val="ae"/>
        <w:spacing w:before="0" w:after="0" w:line="240" w:lineRule="auto"/>
        <w:ind w:firstLine="560"/>
        <w:jc w:val="both"/>
        <w:rPr>
          <w:rFonts w:ascii="Times New Roman" w:hAnsi="Times New Roman"/>
          <w:color w:val="00A9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Даним аналізом регуляторного впливу:</w:t>
      </w:r>
    </w:p>
    <w:p w:rsidR="00843EF1" w:rsidRDefault="00266552">
      <w:pPr>
        <w:pStyle w:val="ae"/>
        <w:tabs>
          <w:tab w:val="left" w:pos="850"/>
          <w:tab w:val="left" w:pos="964"/>
        </w:tabs>
        <w:spacing w:before="0" w:after="0" w:line="240" w:lineRule="auto"/>
        <w:ind w:firstLine="560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>-</w:t>
      </w:r>
      <w:r>
        <w:rPr>
          <w:rStyle w:val="a5"/>
          <w:rFonts w:ascii="Times New Roman" w:hAnsi="Times New Roman"/>
          <w:b w:val="0"/>
          <w:sz w:val="28"/>
          <w:szCs w:val="28"/>
        </w:rPr>
        <w:tab/>
        <w:t>визначено проблему, яку передбачається розв’язати шляхом регулювання;</w:t>
      </w:r>
    </w:p>
    <w:p w:rsidR="00843EF1" w:rsidRDefault="00266552">
      <w:pPr>
        <w:pStyle w:val="ae"/>
        <w:tabs>
          <w:tab w:val="left" w:pos="850"/>
          <w:tab w:val="left" w:pos="964"/>
        </w:tabs>
        <w:spacing w:before="0" w:after="0" w:line="240" w:lineRule="auto"/>
        <w:ind w:firstLine="560"/>
        <w:jc w:val="both"/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визначені ц</w:t>
      </w:r>
      <w:r>
        <w:rPr>
          <w:rStyle w:val="a5"/>
          <w:rFonts w:ascii="Times New Roman" w:hAnsi="Times New Roman"/>
          <w:b w:val="0"/>
          <w:sz w:val="28"/>
          <w:szCs w:val="28"/>
        </w:rPr>
        <w:t>ілі регулювання;</w:t>
      </w:r>
    </w:p>
    <w:p w:rsidR="00843EF1" w:rsidRDefault="00266552">
      <w:pPr>
        <w:pStyle w:val="ae"/>
        <w:shd w:val="clear" w:color="auto" w:fill="FFFFFF"/>
        <w:tabs>
          <w:tab w:val="left" w:pos="850"/>
          <w:tab w:val="left" w:pos="964"/>
        </w:tabs>
        <w:spacing w:before="0" w:after="0" w:line="240" w:lineRule="auto"/>
        <w:ind w:firstLine="560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>-</w:t>
      </w:r>
      <w:r>
        <w:rPr>
          <w:rStyle w:val="a5"/>
          <w:rFonts w:ascii="Times New Roman" w:hAnsi="Times New Roman"/>
          <w:b w:val="0"/>
          <w:sz w:val="28"/>
          <w:szCs w:val="28"/>
        </w:rPr>
        <w:tab/>
        <w:t>визначено та оцінено усі альтернативні способи досягнення визначених цілей;</w:t>
      </w:r>
    </w:p>
    <w:p w:rsidR="00843EF1" w:rsidRDefault="00266552">
      <w:pPr>
        <w:pStyle w:val="ae"/>
        <w:shd w:val="clear" w:color="auto" w:fill="FFFFFF"/>
        <w:tabs>
          <w:tab w:val="left" w:pos="850"/>
          <w:tab w:val="left" w:pos="964"/>
        </w:tabs>
        <w:spacing w:before="0" w:after="0" w:line="240" w:lineRule="auto"/>
        <w:ind w:firstLine="560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>-</w:t>
      </w:r>
      <w:r>
        <w:rPr>
          <w:rStyle w:val="a5"/>
          <w:rFonts w:ascii="Times New Roman" w:hAnsi="Times New Roman"/>
          <w:b w:val="0"/>
          <w:sz w:val="28"/>
          <w:szCs w:val="28"/>
        </w:rPr>
        <w:tab/>
        <w:t>описано механізми  розв’язання проблеми;</w:t>
      </w:r>
    </w:p>
    <w:p w:rsidR="00843EF1" w:rsidRDefault="00266552">
      <w:pPr>
        <w:pStyle w:val="ae"/>
        <w:shd w:val="clear" w:color="auto" w:fill="FFFFFF"/>
        <w:tabs>
          <w:tab w:val="left" w:pos="850"/>
          <w:tab w:val="left" w:pos="964"/>
        </w:tabs>
        <w:spacing w:before="0" w:after="0" w:line="240" w:lineRule="auto"/>
        <w:ind w:firstLine="560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>-</w:t>
      </w:r>
      <w:r>
        <w:rPr>
          <w:rStyle w:val="a5"/>
          <w:rFonts w:ascii="Times New Roman" w:hAnsi="Times New Roman"/>
          <w:b w:val="0"/>
          <w:sz w:val="28"/>
          <w:szCs w:val="28"/>
        </w:rPr>
        <w:tab/>
        <w:t xml:space="preserve">обґрунтовані можливості досягнення визначених цілей у разі прийняття регуляторного </w:t>
      </w:r>
      <w:proofErr w:type="spellStart"/>
      <w:r>
        <w:rPr>
          <w:rStyle w:val="a5"/>
          <w:rFonts w:ascii="Times New Roman" w:hAnsi="Times New Roman"/>
          <w:b w:val="0"/>
          <w:sz w:val="28"/>
          <w:szCs w:val="28"/>
        </w:rPr>
        <w:t>акта</w:t>
      </w:r>
      <w:proofErr w:type="spellEnd"/>
      <w:r>
        <w:rPr>
          <w:rStyle w:val="a5"/>
          <w:rFonts w:ascii="Times New Roman" w:hAnsi="Times New Roman"/>
          <w:b w:val="0"/>
          <w:sz w:val="28"/>
          <w:szCs w:val="28"/>
        </w:rPr>
        <w:t>;</w:t>
      </w:r>
    </w:p>
    <w:p w:rsidR="00843EF1" w:rsidRDefault="00266552">
      <w:pPr>
        <w:pStyle w:val="ae"/>
        <w:shd w:val="clear" w:color="auto" w:fill="FFFFFF"/>
        <w:tabs>
          <w:tab w:val="left" w:pos="850"/>
          <w:tab w:val="left" w:pos="964"/>
        </w:tabs>
        <w:spacing w:before="0" w:after="0" w:line="240" w:lineRule="auto"/>
        <w:ind w:firstLine="560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>-</w:t>
      </w:r>
      <w:r>
        <w:rPr>
          <w:rStyle w:val="a5"/>
          <w:rFonts w:ascii="Times New Roman" w:hAnsi="Times New Roman"/>
          <w:b w:val="0"/>
          <w:sz w:val="28"/>
          <w:szCs w:val="28"/>
        </w:rPr>
        <w:tab/>
        <w:t>визначено очікувані результати прийняття запропонованого регуляторного акту;</w:t>
      </w:r>
    </w:p>
    <w:p w:rsidR="00843EF1" w:rsidRDefault="00266552">
      <w:pPr>
        <w:pStyle w:val="ae"/>
        <w:shd w:val="clear" w:color="auto" w:fill="FFFFFF"/>
        <w:tabs>
          <w:tab w:val="left" w:pos="850"/>
          <w:tab w:val="left" w:pos="964"/>
        </w:tabs>
        <w:spacing w:before="0" w:after="0" w:line="240" w:lineRule="auto"/>
        <w:ind w:firstLine="560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>-</w:t>
      </w:r>
      <w:r>
        <w:rPr>
          <w:rStyle w:val="a5"/>
          <w:rFonts w:ascii="Times New Roman" w:hAnsi="Times New Roman"/>
          <w:b w:val="0"/>
          <w:sz w:val="28"/>
          <w:szCs w:val="28"/>
        </w:rPr>
        <w:tab/>
        <w:t xml:space="preserve">обґрунтовано строк дії регуляторного акту; </w:t>
      </w:r>
    </w:p>
    <w:p w:rsidR="00843EF1" w:rsidRDefault="00266552">
      <w:pPr>
        <w:pStyle w:val="ae"/>
        <w:shd w:val="clear" w:color="auto" w:fill="FFFFFF"/>
        <w:tabs>
          <w:tab w:val="left" w:pos="850"/>
          <w:tab w:val="left" w:pos="964"/>
        </w:tabs>
        <w:spacing w:before="0" w:after="0" w:line="240" w:lineRule="auto"/>
        <w:ind w:firstLine="560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>-</w:t>
      </w:r>
      <w:r>
        <w:rPr>
          <w:rStyle w:val="a5"/>
          <w:rFonts w:ascii="Times New Roman" w:hAnsi="Times New Roman"/>
          <w:b w:val="0"/>
          <w:sz w:val="28"/>
          <w:szCs w:val="28"/>
        </w:rPr>
        <w:tab/>
        <w:t>визначено показники результативності акту;</w:t>
      </w:r>
    </w:p>
    <w:p w:rsidR="00843EF1" w:rsidRDefault="00266552">
      <w:pPr>
        <w:pStyle w:val="ae"/>
        <w:shd w:val="clear" w:color="auto" w:fill="FFFFFF"/>
        <w:tabs>
          <w:tab w:val="left" w:pos="850"/>
          <w:tab w:val="left" w:pos="964"/>
        </w:tabs>
        <w:spacing w:before="0" w:after="0" w:line="240" w:lineRule="auto"/>
        <w:ind w:firstLine="560"/>
        <w:jc w:val="both"/>
      </w:pPr>
      <w:r>
        <w:rPr>
          <w:rStyle w:val="a5"/>
          <w:rFonts w:ascii="Times New Roman" w:hAnsi="Times New Roman"/>
          <w:b w:val="0"/>
          <w:sz w:val="28"/>
          <w:szCs w:val="28"/>
        </w:rPr>
        <w:t>-</w:t>
      </w:r>
      <w:r>
        <w:rPr>
          <w:rStyle w:val="a5"/>
          <w:rFonts w:ascii="Times New Roman" w:hAnsi="Times New Roman"/>
          <w:b w:val="0"/>
          <w:sz w:val="28"/>
          <w:szCs w:val="28"/>
        </w:rPr>
        <w:tab/>
        <w:t xml:space="preserve">визначені заходи </w:t>
      </w:r>
      <w:r>
        <w:rPr>
          <w:rFonts w:ascii="Times New Roman" w:hAnsi="Times New Roman"/>
          <w:sz w:val="28"/>
          <w:szCs w:val="28"/>
        </w:rPr>
        <w:t xml:space="preserve">за допомогою яких буде здійснюватися відстеження результативності регуляторного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разі його прийняття.</w:t>
      </w:r>
    </w:p>
    <w:p w:rsidR="00843EF1" w:rsidRDefault="00843EF1">
      <w:pPr>
        <w:pStyle w:val="ae"/>
        <w:spacing w:before="0" w:after="0" w:line="240" w:lineRule="auto"/>
        <w:jc w:val="both"/>
        <w:rPr>
          <w:rStyle w:val="a5"/>
          <w:rFonts w:ascii="Times New Roman" w:hAnsi="Times New Roman"/>
          <w:b w:val="0"/>
          <w:color w:val="00A933"/>
          <w:sz w:val="28"/>
          <w:szCs w:val="28"/>
        </w:rPr>
      </w:pPr>
    </w:p>
    <w:p w:rsidR="00843EF1" w:rsidRDefault="00266552">
      <w:pPr>
        <w:pStyle w:val="ae"/>
        <w:spacing w:before="0" w:after="0" w:line="240" w:lineRule="auto"/>
        <w:ind w:firstLine="709"/>
        <w:jc w:val="both"/>
      </w:pPr>
      <w:r>
        <w:rPr>
          <w:rStyle w:val="a5"/>
          <w:rFonts w:ascii="Times New Roman" w:hAnsi="Times New Roman"/>
          <w:sz w:val="28"/>
          <w:szCs w:val="28"/>
        </w:rPr>
        <w:t>Узагальнений висновок:</w:t>
      </w:r>
    </w:p>
    <w:p w:rsidR="00843EF1" w:rsidRDefault="00266552">
      <w:pPr>
        <w:pStyle w:val="ae"/>
        <w:spacing w:before="0"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Постійна комісія Білоцерківської сільської ради з питань планування, фінансів, бюджету, соціально-економічного розвитку, житлово-комунального господарства за підсумками розгляду вважає, що проект регуляторного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проект рішення сільської ради ««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встановлення податку на нерухоме майно, відмінне від земельної ділянки, на території Білоцерківської сільської ради на 202</w:t>
      </w:r>
      <w:r w:rsidR="00472918" w:rsidRPr="0047291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  <w:r>
        <w:rPr>
          <w:rStyle w:val="3"/>
          <w:rFonts w:ascii="Times New Roman" w:hAnsi="Times New Roman"/>
          <w:b w:val="0"/>
          <w:bCs w:val="0"/>
          <w:lang w:eastAsia="uk-UA"/>
        </w:rPr>
        <w:t>»</w:t>
      </w:r>
      <w:r>
        <w:rPr>
          <w:rStyle w:val="3"/>
          <w:rFonts w:ascii="Times New Roman" w:hAnsi="Times New Roman"/>
          <w:b w:val="0"/>
          <w:bCs w:val="0"/>
        </w:rPr>
        <w:t>»</w:t>
      </w:r>
      <w:r>
        <w:rPr>
          <w:rFonts w:ascii="Times New Roman" w:hAnsi="Times New Roman"/>
          <w:sz w:val="28"/>
          <w:szCs w:val="28"/>
        </w:rPr>
        <w:t xml:space="preserve"> та аналіз його регуляторного впливу відповідають вимогам статей 4, 8 Закону України «Про засади державної регуляторної політики у сфері господарської діяльності».</w:t>
      </w:r>
    </w:p>
    <w:p w:rsidR="00843EF1" w:rsidRDefault="00843EF1">
      <w:pPr>
        <w:pStyle w:val="ae"/>
        <w:spacing w:before="0" w:after="0" w:line="240" w:lineRule="auto"/>
        <w:jc w:val="both"/>
        <w:rPr>
          <w:rFonts w:ascii="Times New Roman" w:hAnsi="Times New Roman"/>
          <w:color w:val="00A933"/>
          <w:sz w:val="28"/>
          <w:szCs w:val="28"/>
        </w:rPr>
      </w:pPr>
    </w:p>
    <w:p w:rsidR="00843EF1" w:rsidRDefault="00266552">
      <w:pPr>
        <w:pStyle w:val="ae"/>
        <w:spacing w:before="0" w:after="0" w:line="240" w:lineRule="auto"/>
        <w:ind w:right="-25"/>
        <w:jc w:val="both"/>
        <w:rPr>
          <w:rFonts w:ascii="Times New Roman" w:hAnsi="Times New Roman"/>
          <w:color w:val="00A9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 постійної комісії </w:t>
      </w:r>
    </w:p>
    <w:p w:rsidR="00843EF1" w:rsidRDefault="00266552">
      <w:pPr>
        <w:pStyle w:val="ae"/>
        <w:spacing w:before="0" w:after="0" w:line="240" w:lineRule="auto"/>
        <w:ind w:right="-25"/>
        <w:jc w:val="both"/>
        <w:rPr>
          <w:rFonts w:ascii="Times New Roman" w:hAnsi="Times New Roman"/>
          <w:color w:val="00A9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планування, фінансів, </w:t>
      </w:r>
    </w:p>
    <w:p w:rsidR="00843EF1" w:rsidRDefault="00266552">
      <w:pPr>
        <w:pStyle w:val="ae"/>
        <w:spacing w:before="0" w:after="0" w:line="240" w:lineRule="auto"/>
        <w:ind w:right="-25"/>
        <w:jc w:val="both"/>
        <w:rPr>
          <w:rFonts w:ascii="Times New Roman" w:hAnsi="Times New Roman"/>
          <w:color w:val="00A9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бюджету, соціально-економічного </w:t>
      </w:r>
    </w:p>
    <w:p w:rsidR="00843EF1" w:rsidRDefault="00266552">
      <w:pPr>
        <w:pStyle w:val="ae"/>
        <w:spacing w:before="0" w:after="0" w:line="240" w:lineRule="auto"/>
        <w:ind w:right="-25"/>
        <w:jc w:val="both"/>
        <w:rPr>
          <w:rFonts w:ascii="Times New Roman" w:hAnsi="Times New Roman"/>
          <w:color w:val="00A9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розвитку, житлово-комунального </w:t>
      </w:r>
    </w:p>
    <w:p w:rsidR="00843EF1" w:rsidRDefault="00266552">
      <w:pPr>
        <w:pStyle w:val="ae"/>
        <w:spacing w:before="0" w:after="0" w:line="240" w:lineRule="auto"/>
        <w:ind w:right="-25"/>
        <w:jc w:val="both"/>
        <w:rPr>
          <w:rFonts w:ascii="Times New Roman" w:eastAsia="Times New Roman" w:hAnsi="Times New Roman" w:cs="Times New Roman"/>
          <w:sz w:val="25"/>
          <w:szCs w:val="25"/>
          <w:lang w:eastAsia="uk-UA"/>
        </w:rPr>
      </w:pPr>
      <w:r>
        <w:rPr>
          <w:rFonts w:ascii="Times New Roman" w:hAnsi="Times New Roman"/>
          <w:sz w:val="28"/>
          <w:szCs w:val="28"/>
        </w:rPr>
        <w:t>господарства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В.В. </w:t>
      </w:r>
      <w:proofErr w:type="spellStart"/>
      <w:r>
        <w:rPr>
          <w:rFonts w:ascii="Times New Roman" w:hAnsi="Times New Roman"/>
          <w:sz w:val="28"/>
          <w:szCs w:val="28"/>
        </w:rPr>
        <w:t>Кордубан</w:t>
      </w:r>
      <w:proofErr w:type="spellEnd"/>
      <w:r>
        <w:rPr>
          <w:sz w:val="28"/>
          <w:szCs w:val="28"/>
        </w:rPr>
        <w:tab/>
      </w:r>
    </w:p>
    <w:sectPr w:rsidR="00843EF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F1"/>
    <w:rsid w:val="00266552"/>
    <w:rsid w:val="00472918"/>
    <w:rsid w:val="00843EF1"/>
    <w:rsid w:val="00A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DE5933"/>
  </w:style>
  <w:style w:type="character" w:customStyle="1" w:styleId="a4">
    <w:name w:val="Нижній колонтитул Знак"/>
    <w:basedOn w:val="a0"/>
    <w:uiPriority w:val="99"/>
    <w:qFormat/>
    <w:rsid w:val="00DE5933"/>
  </w:style>
  <w:style w:type="character" w:customStyle="1" w:styleId="a5">
    <w:name w:val="Виділення жирним"/>
    <w:qFormat/>
    <w:rPr>
      <w:b/>
      <w:bCs/>
    </w:rPr>
  </w:style>
  <w:style w:type="character" w:customStyle="1" w:styleId="3">
    <w:name w:val="Основной текст (3)_"/>
    <w:qFormat/>
    <w:rPr>
      <w:b/>
      <w:bCs/>
      <w:sz w:val="28"/>
      <w:szCs w:val="28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DE5933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E5933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Normal (Web)"/>
    <w:basedOn w:val="a"/>
    <w:qFormat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DE5933"/>
  </w:style>
  <w:style w:type="character" w:customStyle="1" w:styleId="a4">
    <w:name w:val="Нижній колонтитул Знак"/>
    <w:basedOn w:val="a0"/>
    <w:uiPriority w:val="99"/>
    <w:qFormat/>
    <w:rsid w:val="00DE5933"/>
  </w:style>
  <w:style w:type="character" w:customStyle="1" w:styleId="a5">
    <w:name w:val="Виділення жирним"/>
    <w:qFormat/>
    <w:rPr>
      <w:b/>
      <w:bCs/>
    </w:rPr>
  </w:style>
  <w:style w:type="character" w:customStyle="1" w:styleId="3">
    <w:name w:val="Основной текст (3)_"/>
    <w:qFormat/>
    <w:rPr>
      <w:b/>
      <w:bCs/>
      <w:sz w:val="28"/>
      <w:szCs w:val="28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DE5933"/>
    <w:pPr>
      <w:tabs>
        <w:tab w:val="center" w:pos="4819"/>
        <w:tab w:val="right" w:pos="9639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DE5933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Normal (Web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2956</Words>
  <Characters>1686</Characters>
  <Application>Microsoft Office Word</Application>
  <DocSecurity>0</DocSecurity>
  <Lines>14</Lines>
  <Paragraphs>9</Paragraphs>
  <ScaleCrop>false</ScaleCrop>
  <Company>Bilotg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BILOTG</dc:creator>
  <dc:description/>
  <cp:lastModifiedBy>1</cp:lastModifiedBy>
  <cp:revision>11</cp:revision>
  <dcterms:created xsi:type="dcterms:W3CDTF">2019-05-22T10:31:00Z</dcterms:created>
  <dcterms:modified xsi:type="dcterms:W3CDTF">2020-06-04T06:12:00Z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