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АНАЛІЗ РЕГУЛЯТОРНОГО ВПЛИВУ</w:t>
      </w:r>
    </w:p>
    <w:p w:rsidR="00500340" w:rsidRPr="001A09A8" w:rsidRDefault="001A09A8" w:rsidP="00213FE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проекту рішення Білоцерківської сільської ради "</w:t>
      </w:r>
      <w:r w:rsidR="00213FE1" w:rsidRPr="00213FE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 встановлення туристичного збору на території Білоцерківської сільської ради на 2021 рік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"</w:t>
      </w:r>
    </w:p>
    <w:p w:rsidR="001A09A8" w:rsidRPr="00AB00FF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І. Визначення проблеми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Проблема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, яку передбачається розв'язати шляхом державного регулювання: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Законом України «Про місцеве самоврядування в Україні» та Податковим кодексом України повноваження щодо встановлення місцевих податків і зборів  покладено на органи місцевого самоврядування.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Відповідно до підпункту 12.3.4. пункту 12.3 статті 12 Податкового кодексу України рішення про встановлення місцевих податків і зборів офіційно оприлюднюється відповідним органом місцевого самоврядування до 15 липня року, що передує бюджетному періоду, в якому планується застосування встановлюваних місцевих податків та зборів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Враховуючи положення Податкового кодексу України та Закону України «Про місцеве самоврядування», з метою безумовного виконання законодавства виникає необхідність встановлення на території Білоцерківської сільської ради </w:t>
      </w:r>
      <w:r w:rsidR="00213FE1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054F7C" w:rsidRPr="00054F7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рік.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Проблема, яку пропонується розв’язати:</w:t>
      </w:r>
    </w:p>
    <w:p w:rsidR="00500340" w:rsidRPr="001A09A8" w:rsidRDefault="001A09A8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додаткових надходжень до бюджету Білоцерківської сільської ради шляхом врегулювання справляння </w:t>
      </w:r>
      <w:r w:rsidR="00213FE1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на території сільської ради відповідно до Податкового кодексу України, визначення на законних підставах розміру ставок відповідного </w:t>
      </w:r>
      <w:r w:rsidR="009550C4">
        <w:rPr>
          <w:rFonts w:ascii="Times New Roman" w:hAnsi="Times New Roman" w:cs="Times New Roman"/>
          <w:sz w:val="28"/>
          <w:szCs w:val="28"/>
          <w:lang w:val="ru-RU"/>
        </w:rPr>
        <w:t>збору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13FE1">
        <w:rPr>
          <w:rFonts w:ascii="Times New Roman" w:hAnsi="Times New Roman" w:cs="Times New Roman"/>
          <w:sz w:val="28"/>
          <w:szCs w:val="28"/>
          <w:lang w:val="ru-RU"/>
        </w:rPr>
        <w:t>Туристичний збір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план</w:t>
      </w:r>
      <w:r w:rsidR="00213FE1">
        <w:rPr>
          <w:rFonts w:ascii="Times New Roman" w:hAnsi="Times New Roman" w:cs="Times New Roman"/>
          <w:sz w:val="28"/>
          <w:szCs w:val="28"/>
          <w:lang w:val="ru-RU"/>
        </w:rPr>
        <w:t>ується встановити у відсотках</w:t>
      </w:r>
      <w:r w:rsidR="00213FE1" w:rsidRPr="00213FE1">
        <w:rPr>
          <w:lang w:val="ru-RU"/>
        </w:rPr>
        <w:t xml:space="preserve"> </w:t>
      </w:r>
      <w:r w:rsidR="00213FE1" w:rsidRPr="00213FE1">
        <w:rPr>
          <w:rFonts w:ascii="Times New Roman" w:hAnsi="Times New Roman" w:cs="Times New Roman"/>
          <w:sz w:val="28"/>
          <w:szCs w:val="28"/>
          <w:lang w:val="ru-RU"/>
        </w:rPr>
        <w:t>від розміру мінімальної заробітної плати, встановленої законом на 1 січня звітного (податкового) року, для однієї особи за одну добу тимчас</w:t>
      </w:r>
      <w:r w:rsidR="00213FE1">
        <w:rPr>
          <w:rFonts w:ascii="Times New Roman" w:hAnsi="Times New Roman" w:cs="Times New Roman"/>
          <w:sz w:val="28"/>
          <w:szCs w:val="28"/>
          <w:lang w:val="ru-RU"/>
        </w:rPr>
        <w:t>ового розміщення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в межах ставок передбачених Податковим кодексом України.  </w:t>
      </w:r>
    </w:p>
    <w:p w:rsidR="001A09A8" w:rsidRPr="00AB00FF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00340" w:rsidRPr="00213FE1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3FE1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Причини виникнення проблеми:</w:t>
      </w:r>
    </w:p>
    <w:p w:rsidR="00CD1DFA" w:rsidRPr="00CD1DFA" w:rsidRDefault="00CD1DFA" w:rsidP="00CD1DF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У разі неприйняття рішення про встановлення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туристичного збору на 2021 рік, </w:t>
      </w:r>
      <w:r w:rsidR="009550C4">
        <w:rPr>
          <w:rFonts w:ascii="Times New Roman" w:hAnsi="Times New Roman" w:cs="Times New Roman"/>
          <w:sz w:val="28"/>
          <w:szCs w:val="28"/>
          <w:lang w:val="ru-RU"/>
        </w:rPr>
        <w:t>збір</w:t>
      </w:r>
      <w:r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справлятим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ться по мінімальним ставкам, що спричинить зменшення дохідної частини бюджету сільської ради на очікувану суму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CD1DF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тис.грн.</w:t>
      </w:r>
    </w:p>
    <w:p w:rsidR="00500340" w:rsidRPr="001A09A8" w:rsidRDefault="001A09A8" w:rsidP="001A09A8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Зменшення доходної частини 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>призведе до недо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7C">
        <w:rPr>
          <w:rFonts w:ascii="Times New Roman" w:hAnsi="Times New Roman" w:cs="Times New Roman"/>
          <w:sz w:val="28"/>
          <w:szCs w:val="28"/>
          <w:lang w:val="ru-RU"/>
        </w:rPr>
        <w:t>соціальних програм громади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340" w:rsidRPr="001A09A8" w:rsidRDefault="001A09A8" w:rsidP="001A09A8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Враховуючи положення Податкового кодексу України та Закону України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«Про місцеве самоврядування», органи місцевого самоврядування мають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щорічно (до 15 липня кожного року) затверджувати рішення про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встановлення </w:t>
      </w:r>
      <w:r w:rsidR="009550C4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, які будуть діяти лише протягом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року, на який прийняті.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Підтвердження важливості проблеми:</w:t>
      </w:r>
    </w:p>
    <w:p w:rsidR="00500340" w:rsidRPr="00054F7C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Важливість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затвердженні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безумовного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вимог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Податкового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кодексу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метою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щодо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врегулювання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справляння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межах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Білоцерківської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також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наповнення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бюджету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спрямування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отриманих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від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сплати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податків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проблем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покращення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340" w:rsidRPr="001A09A8" w:rsidRDefault="00FB64E5" w:rsidP="00CD1DF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Для забезпечення вказаних проблем пропонується прийняття рішення Білоцерківської сільської ради "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Про встановлення туристичного збору на території Білоцерківської сільської ради на 2021 рік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За даними відділу фінансового забезпечення та економічного розвитку виконавчого комітету Білоцерківської сільської ради про виконання доходної частини бюджету, платники 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(1 юридичн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а, 1 фізична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ос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>-підприє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мець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>), для яких ставки регулюються рішенням сільської ради сплатили в 201</w:t>
      </w:r>
      <w:r w:rsidR="009170A6" w:rsidRPr="00CD1D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році 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14,7</w:t>
      </w:r>
      <w:r w:rsidR="009170A6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тис. грн. Очікувані показники 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9170A6" w:rsidRPr="00CD1D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рік становлять 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D1DFA" w:rsidRPr="00CD1DF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A09A8" w:rsidRPr="00CD1DFA">
        <w:rPr>
          <w:rFonts w:ascii="Times New Roman" w:hAnsi="Times New Roman" w:cs="Times New Roman"/>
          <w:sz w:val="28"/>
          <w:szCs w:val="28"/>
          <w:lang w:val="ru-RU"/>
        </w:rPr>
        <w:t xml:space="preserve"> тис. грн.</w:t>
      </w:r>
    </w:p>
    <w:p w:rsidR="00500340" w:rsidRPr="001A09A8" w:rsidRDefault="00500340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CD1DFA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1DF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Показники існування та масштабу проблеми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3"/>
        <w:gridCol w:w="1643"/>
        <w:gridCol w:w="1642"/>
      </w:tblGrid>
      <w:tr w:rsidR="00500340" w:rsidRPr="006670D8" w:rsidTr="001A09A8">
        <w:tc>
          <w:tcPr>
            <w:tcW w:w="833" w:type="pct"/>
            <w:vMerge w:val="restar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Назва показника</w:t>
            </w:r>
          </w:p>
        </w:tc>
        <w:tc>
          <w:tcPr>
            <w:tcW w:w="1666" w:type="pct"/>
            <w:gridSpan w:val="2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У разі прийняття регуляторного акта</w:t>
            </w:r>
          </w:p>
        </w:tc>
        <w:tc>
          <w:tcPr>
            <w:tcW w:w="1667" w:type="pct"/>
            <w:gridSpan w:val="2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У разі неприйняття регуляторного акта</w:t>
            </w:r>
          </w:p>
        </w:tc>
        <w:tc>
          <w:tcPr>
            <w:tcW w:w="834" w:type="pct"/>
            <w:vMerge w:val="restar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Відхилення, тис.грн. (втрати до бюджету)</w:t>
            </w:r>
          </w:p>
        </w:tc>
      </w:tr>
      <w:tr w:rsidR="00500340" w:rsidRPr="006670D8" w:rsidTr="001A09A8">
        <w:tc>
          <w:tcPr>
            <w:tcW w:w="833" w:type="pct"/>
            <w:vMerge/>
          </w:tcPr>
          <w:p w:rsidR="00500340" w:rsidRPr="001A09A8" w:rsidRDefault="00500340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33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Ставка, %</w:t>
            </w:r>
          </w:p>
        </w:tc>
        <w:tc>
          <w:tcPr>
            <w:tcW w:w="833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Очікуваний обсяг надходжень, тис. грн.</w:t>
            </w:r>
          </w:p>
        </w:tc>
        <w:tc>
          <w:tcPr>
            <w:tcW w:w="834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Ставка, %</w:t>
            </w:r>
          </w:p>
        </w:tc>
        <w:tc>
          <w:tcPr>
            <w:tcW w:w="834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ru-RU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  <w:lang w:val="uk-UA"/>
              </w:rPr>
              <w:t>Очікуваний обсяг надходжень, тис. грн.</w:t>
            </w:r>
          </w:p>
        </w:tc>
        <w:tc>
          <w:tcPr>
            <w:tcW w:w="834" w:type="pct"/>
            <w:vMerge/>
          </w:tcPr>
          <w:p w:rsidR="00500340" w:rsidRPr="001A09A8" w:rsidRDefault="00500340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ru-RU"/>
              </w:rPr>
            </w:pPr>
          </w:p>
        </w:tc>
      </w:tr>
      <w:tr w:rsidR="00500340" w:rsidRPr="001A09A8" w:rsidTr="001A09A8">
        <w:tc>
          <w:tcPr>
            <w:tcW w:w="833" w:type="pct"/>
          </w:tcPr>
          <w:p w:rsidR="00500340" w:rsidRPr="001A09A8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Туристичний збір</w:t>
            </w:r>
          </w:p>
        </w:tc>
        <w:tc>
          <w:tcPr>
            <w:tcW w:w="833" w:type="pct"/>
          </w:tcPr>
          <w:p w:rsidR="00500340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0,5 % для внутрішнього туризму</w:t>
            </w:r>
          </w:p>
          <w:p w:rsidR="005403B5" w:rsidRPr="001A09A8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 xml:space="preserve">2 % </w:t>
            </w:r>
            <w:r w:rsidRPr="005403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для в’їзного туризму</w:t>
            </w:r>
          </w:p>
        </w:tc>
        <w:tc>
          <w:tcPr>
            <w:tcW w:w="833" w:type="pct"/>
          </w:tcPr>
          <w:p w:rsidR="00500340" w:rsidRPr="001A09A8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17,7</w:t>
            </w:r>
          </w:p>
        </w:tc>
        <w:tc>
          <w:tcPr>
            <w:tcW w:w="834" w:type="pct"/>
          </w:tcPr>
          <w:p w:rsidR="00500340" w:rsidRPr="001A09A8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834" w:type="pct"/>
          </w:tcPr>
          <w:p w:rsidR="00500340" w:rsidRPr="001A09A8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0</w:t>
            </w:r>
          </w:p>
        </w:tc>
        <w:tc>
          <w:tcPr>
            <w:tcW w:w="834" w:type="pct"/>
          </w:tcPr>
          <w:p w:rsidR="00500340" w:rsidRPr="009170A6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5403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17,7</w:t>
            </w:r>
          </w:p>
        </w:tc>
      </w:tr>
      <w:tr w:rsidR="00500340" w:rsidRPr="001A09A8" w:rsidTr="001A09A8">
        <w:tc>
          <w:tcPr>
            <w:tcW w:w="833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Разом (втрати до бюджету)</w:t>
            </w:r>
          </w:p>
        </w:tc>
        <w:tc>
          <w:tcPr>
            <w:tcW w:w="833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833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834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834" w:type="pct"/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Х</w:t>
            </w:r>
          </w:p>
        </w:tc>
        <w:tc>
          <w:tcPr>
            <w:tcW w:w="834" w:type="pct"/>
          </w:tcPr>
          <w:p w:rsidR="00500340" w:rsidRPr="009170A6" w:rsidRDefault="005403B5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shd w:val="clear" w:color="auto" w:fill="FFFFFF"/>
                <w:lang w:val="uk-UA"/>
              </w:rPr>
            </w:pPr>
            <w:r w:rsidRPr="005403B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uk-UA"/>
              </w:rPr>
              <w:t>17,7</w:t>
            </w:r>
          </w:p>
        </w:tc>
      </w:tr>
    </w:tbl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Основні групи (підгрупи), на які проблема справляє вплив: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0"/>
        <w:gridCol w:w="901"/>
        <w:gridCol w:w="630"/>
      </w:tblGrid>
      <w:tr w:rsidR="00500340" w:rsidRPr="001A09A8" w:rsidTr="00D71ABD">
        <w:tc>
          <w:tcPr>
            <w:tcW w:w="42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Групи (підгрупи)</w:t>
            </w:r>
          </w:p>
        </w:tc>
        <w:tc>
          <w:tcPr>
            <w:tcW w:w="4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Так</w:t>
            </w:r>
          </w:p>
        </w:tc>
        <w:tc>
          <w:tcPr>
            <w:tcW w:w="3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Ні</w:t>
            </w:r>
          </w:p>
        </w:tc>
      </w:tr>
      <w:tr w:rsidR="00500340" w:rsidRPr="001A09A8" w:rsidTr="00D71ABD">
        <w:tc>
          <w:tcPr>
            <w:tcW w:w="4215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Держава</w:t>
            </w:r>
          </w:p>
        </w:tc>
        <w:tc>
          <w:tcPr>
            <w:tcW w:w="462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00340" w:rsidRPr="001A09A8" w:rsidTr="00D71ABD">
        <w:tc>
          <w:tcPr>
            <w:tcW w:w="4215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Громадяни</w:t>
            </w:r>
          </w:p>
        </w:tc>
        <w:tc>
          <w:tcPr>
            <w:tcW w:w="462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00340" w:rsidRPr="001A09A8" w:rsidTr="00D71ABD">
        <w:tc>
          <w:tcPr>
            <w:tcW w:w="4215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Суб’єкти господарювання</w:t>
            </w:r>
          </w:p>
        </w:tc>
        <w:tc>
          <w:tcPr>
            <w:tcW w:w="462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500340" w:rsidRPr="001A09A8" w:rsidTr="00D71ABD">
        <w:tc>
          <w:tcPr>
            <w:tcW w:w="4215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 тому числі суб’єкти малого підприємництва</w:t>
            </w:r>
          </w:p>
        </w:tc>
        <w:tc>
          <w:tcPr>
            <w:tcW w:w="462" w:type="pct"/>
            <w:tcBorders>
              <w:left w:val="single" w:sz="2" w:space="0" w:color="000000"/>
              <w:bottom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2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Обґрунтування неможливості вирішення проблеми за допомогою ринкових механізмів:</w:t>
      </w:r>
    </w:p>
    <w:p w:rsidR="00500340" w:rsidRPr="00054F7C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механізмів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вказаної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можливим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вищезазначених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засобом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державного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регулювання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Податкового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кодексу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компетенцією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ради</w:t>
      </w:r>
      <w:r w:rsidR="001A09A8" w:rsidRPr="00054F7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Обґрунтування неможливості вирішення проблеми за допомогою діючих регуляторних актів: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4F7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Зазначена проблема не може бути вирішена за допомогою діючих регуляторних актів з огляду на вимоги Податкового кодексу України. А саме, у разі, якщо сільська рада у термін до 15 липня не прийняла та не оприлюднила рішення про встановлення місцевих податків і зборів на наступний рік, такі податки справляються, виходячи з норми Податкового кодексу України, із застосуванням </w:t>
      </w:r>
      <w:r w:rsidR="00AD18E5" w:rsidRPr="00AD18E5">
        <w:rPr>
          <w:rFonts w:ascii="Times New Roman" w:hAnsi="Times New Roman" w:cs="Times New Roman"/>
          <w:sz w:val="28"/>
          <w:szCs w:val="28"/>
          <w:lang w:val="ru-RU"/>
        </w:rPr>
        <w:t>їх мінімальних ставок.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340" w:rsidRPr="001A09A8" w:rsidRDefault="00500340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ІІ. Цілі державного регулювання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Цілі державного регулювання, безпосередньо пов'язані з розв'язанням проблеми:</w:t>
      </w:r>
    </w:p>
    <w:p w:rsidR="00500340" w:rsidRPr="001A09A8" w:rsidRDefault="001A09A8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>Виконання вимог чинного законодавства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>Врегулювання відносин між Білоцерківською сільською радою та суб'єктами господарювання, що виникають у сфері справляння місцевих податків і зборів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br/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Встановлення ставок </w:t>
      </w:r>
      <w:r w:rsidR="00206395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, які б дозволили забезпечити сталі надходження до сільського бюджету для виконання програм соціально – економічного розвитку громади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06395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06395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Отримання до сільського бюджету податкових надходжень від сплати </w:t>
      </w:r>
      <w:r w:rsidR="00206395" w:rsidRPr="00206395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Pr="00206395">
        <w:rPr>
          <w:rFonts w:ascii="Times New Roman" w:hAnsi="Times New Roman" w:cs="Times New Roman"/>
          <w:sz w:val="28"/>
          <w:szCs w:val="28"/>
          <w:lang w:val="ru-RU"/>
        </w:rPr>
        <w:t xml:space="preserve"> орієнтовним обсягом </w:t>
      </w:r>
      <w:r w:rsidR="00206395" w:rsidRPr="00206395">
        <w:rPr>
          <w:rFonts w:ascii="Times New Roman" w:hAnsi="Times New Roman" w:cs="Times New Roman"/>
          <w:sz w:val="28"/>
          <w:szCs w:val="28"/>
          <w:lang w:val="ru-RU"/>
        </w:rPr>
        <w:t>17,7</w:t>
      </w:r>
      <w:r w:rsidRPr="00206395">
        <w:rPr>
          <w:rFonts w:ascii="Times New Roman" w:hAnsi="Times New Roman" w:cs="Times New Roman"/>
          <w:sz w:val="28"/>
          <w:szCs w:val="28"/>
          <w:lang w:val="ru-RU"/>
        </w:rPr>
        <w:t xml:space="preserve"> тис. грн.</w:t>
      </w:r>
    </w:p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Визначення та оцінка альтернативних способів досягнення цілей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Визначення альтернативних способів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7869"/>
      </w:tblGrid>
      <w:tr w:rsidR="00500340" w:rsidRPr="001A09A8" w:rsidTr="001A0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Опис альтернативи</w:t>
            </w:r>
          </w:p>
        </w:tc>
      </w:tr>
      <w:tr w:rsidR="00500340" w:rsidRPr="006670D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Неприйняття запропонованого регуляторного акта (збереження існуючого механізму регулювання)</w:t>
            </w:r>
          </w:p>
        </w:tc>
      </w:tr>
      <w:tr w:rsidR="00500340" w:rsidRPr="006670D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8E5E5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Прийняття регуляторного акта із запропонованими ставками </w:t>
            </w:r>
            <w:r w:rsidR="008E5E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туристичного збору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відповідно до Податкового кодексу України</w:t>
            </w:r>
          </w:p>
        </w:tc>
      </w:tr>
      <w:tr w:rsidR="00500340" w:rsidRPr="006670D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8E5E5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Прийняття проекту рішення із максимальними ставками </w:t>
            </w:r>
            <w:r w:rsidR="008E5E5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туристичного збору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відповідно до Податкового кодексу України</w:t>
            </w:r>
          </w:p>
        </w:tc>
      </w:tr>
    </w:tbl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2. Оцінка вибраних альтернативних способів досягнення цілей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держави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4572"/>
        <w:gridCol w:w="3493"/>
      </w:tblGrid>
      <w:tr w:rsidR="00500340" w:rsidRPr="001A09A8" w:rsidTr="001A0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Витрати</w:t>
            </w:r>
          </w:p>
        </w:tc>
      </w:tr>
      <w:tr w:rsidR="00500340" w:rsidRPr="006670D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FD78B3" w:rsidRDefault="00FD78B3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Можливе незначне збільшення кількості туристів на території громади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0244" w:rsidRPr="00B30244" w:rsidRDefault="00B30244" w:rsidP="00B302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Відповідно до підпункту 12.3.5 пункту 12.3 статті 12 Податкового кодексу України 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туристичний збір</w:t>
            </w: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буде справлятись виходячи з норм</w:t>
            </w:r>
          </w:p>
          <w:p w:rsidR="00500340" w:rsidRPr="001A09A8" w:rsidRDefault="00B30244" w:rsidP="007326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Кодексу із застосуванням </w:t>
            </w: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мінімальних ставок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що призведе до зниження надходження до місцевого бюджету у 202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році орієнтовно на 17,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тис. грн.</w:t>
            </w:r>
          </w:p>
        </w:tc>
      </w:tr>
      <w:tr w:rsidR="00500340" w:rsidRPr="001A09A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B302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Забезпечення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досягнення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цілей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державного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регулювання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сталість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надходження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коштів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місцевого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бюджету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</w:t>
            </w:r>
            <w:r w:rsid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ез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погіршення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умов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024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розвитку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бізнесу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належне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фінансування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програм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соціально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економічного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розвиток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громади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Очікуваний обсяг надходжень до місцевого бюджету 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17,7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тис. грн.</w:t>
            </w:r>
            <w:r w:rsidRPr="001A09A8">
              <w:rPr>
                <w:rFonts w:ascii="Times New Roman" w:hAnsi="Times New Roman" w:cs="Times New Roman"/>
                <w:sz w:val="24"/>
                <w:szCs w:val="28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500340" w:rsidRPr="001A09A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B30244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 xml:space="preserve">Забезпечить надходження додаткових коштів до місцевого бюджету, що дасть змогу здійснити додаткове фінансування програм соціально-економічного розвитку сільської ради.  Очікуваний обсяг 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надходжень до бюджету складе </w:t>
            </w:r>
            <w:r w:rsidR="00B30244" w:rsidRPr="00B3024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21,2</w:t>
            </w:r>
            <w:r w:rsidRPr="00B30244">
              <w:rPr>
                <w:rFonts w:ascii="Times New Roman" w:hAnsi="Times New Roman" w:cs="Times New Roman"/>
                <w:sz w:val="24"/>
                <w:szCs w:val="28"/>
              </w:rPr>
              <w:t xml:space="preserve">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</w:tbl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9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громадян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3647"/>
        <w:gridCol w:w="4406"/>
      </w:tblGrid>
      <w:tr w:rsidR="00500340" w:rsidRPr="001A09A8" w:rsidTr="001A0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Витрати</w:t>
            </w:r>
          </w:p>
        </w:tc>
      </w:tr>
      <w:tr w:rsidR="00500340" w:rsidRPr="001A09A8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FD78B3" w:rsidP="009170A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Зниження вартості проживання у закладах тимчасового розміщення на території громади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FD78B3" w:rsidP="00D71ABD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Відсутні</w:t>
            </w:r>
          </w:p>
        </w:tc>
      </w:tr>
      <w:tr w:rsidR="00500340" w:rsidRPr="009550C4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FD78B3" w:rsidRDefault="001A09A8" w:rsidP="00FD7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Забезпечення фінансування програм соціально-економічного розвитку громади на достатньому рівні.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  <w:r w:rsidRPr="00FD78B3">
              <w:rPr>
                <w:rFonts w:ascii="Times New Roman" w:hAnsi="Times New Roman" w:cs="Times New Roman"/>
                <w:sz w:val="24"/>
                <w:szCs w:val="28"/>
              </w:rPr>
              <w:t xml:space="preserve">Очікуваний обсяг надходжень до місцевого бюджету 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  <w:r w:rsidRPr="00FD78B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Pr="00FD78B3">
              <w:rPr>
                <w:rFonts w:ascii="Times New Roman" w:hAnsi="Times New Roman" w:cs="Times New Roman"/>
                <w:sz w:val="24"/>
                <w:szCs w:val="28"/>
              </w:rPr>
              <w:t xml:space="preserve">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FD78B3" w:rsidRDefault="001A09A8" w:rsidP="007326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Сплата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 запропонованими ставками, передбаченими проектом регуляторного акта. </w:t>
            </w:r>
            <w:r w:rsidR="00D71ABD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Середній розмір витрат для платника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збору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складе 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62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грн.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добу проживання.</w:t>
            </w:r>
          </w:p>
        </w:tc>
      </w:tr>
      <w:tr w:rsidR="00500340" w:rsidRPr="009550C4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FD78B3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FD78B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Вирішення більшої кількості проблем громади,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збільшення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фінансування програм соціально-економічного розвитку громади 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21,2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7326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Надмірне податкове навантаження. </w:t>
            </w:r>
            <w:r w:rsidR="00D71AB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Середній розмір витрат для платника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збору</w:t>
            </w:r>
            <w:r w:rsidRPr="001A09A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складе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FD78B3" w:rsidRPr="00FD78B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75,0</w:t>
            </w:r>
            <w:r w:rsidRP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грн.</w:t>
            </w:r>
            <w:r w:rsidR="00FD78B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на добу проживання.</w:t>
            </w:r>
          </w:p>
        </w:tc>
      </w:tr>
    </w:tbl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B64E5" w:rsidRPr="00054F7C" w:rsidRDefault="00FB64E5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Оцінка впливу на сферу інтересів суб'єктів господарювання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859"/>
        <w:gridCol w:w="960"/>
        <w:gridCol w:w="664"/>
        <w:gridCol w:w="799"/>
        <w:gridCol w:w="974"/>
      </w:tblGrid>
      <w:tr w:rsidR="00500340" w:rsidRPr="001A09A8" w:rsidTr="001A09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Великі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Середні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Мікро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Разом</w:t>
            </w:r>
          </w:p>
        </w:tc>
      </w:tr>
      <w:tr w:rsidR="00500340" w:rsidRPr="009170A6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</w:tr>
      <w:tr w:rsidR="00500340" w:rsidRPr="009170A6" w:rsidTr="001A09A8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1A09A8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A09A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Питома вага групи у загальній кількості, відсотків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FB64E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="001A09A8" w:rsidRPr="0027472A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FB64E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="001A09A8" w:rsidRPr="0027472A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FB64E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  <w:r w:rsidR="001A09A8" w:rsidRPr="0027472A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27472A" w:rsidP="00FB64E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50</w:t>
            </w:r>
            <w:r w:rsidR="001A09A8" w:rsidRPr="0027472A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27472A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7472A">
              <w:rPr>
                <w:rFonts w:ascii="Times New Roman" w:hAnsi="Times New Roman" w:cs="Times New Roman"/>
                <w:sz w:val="24"/>
                <w:szCs w:val="28"/>
              </w:rPr>
              <w:t>100,00%</w:t>
            </w:r>
          </w:p>
        </w:tc>
      </w:tr>
    </w:tbl>
    <w:p w:rsidR="002F5F65" w:rsidRDefault="002F5F65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00340" w:rsidRPr="001A09A8" w:rsidRDefault="001A09A8" w:rsidP="001A5B5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09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Розрахунок витрат суб’єктів господарювання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на сплату </w:t>
      </w:r>
      <w:r w:rsidR="00193D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туристичного збору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у 201</w:t>
      </w:r>
      <w:r w:rsidR="009170A6" w:rsidRPr="009170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9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- 202</w:t>
      </w:r>
      <w:r w:rsidR="009170A6" w:rsidRPr="009170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роках, 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825"/>
        <w:gridCol w:w="1114"/>
        <w:gridCol w:w="825"/>
        <w:gridCol w:w="1114"/>
        <w:gridCol w:w="825"/>
        <w:gridCol w:w="1114"/>
        <w:gridCol w:w="825"/>
        <w:gridCol w:w="1114"/>
        <w:gridCol w:w="946"/>
      </w:tblGrid>
      <w:tr w:rsidR="001A09A8" w:rsidRPr="000825C0" w:rsidTr="000825C0">
        <w:trPr>
          <w:trHeight w:val="73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09A8" w:rsidRPr="000825C0" w:rsidRDefault="001A09A8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Платники</w:t>
            </w:r>
          </w:p>
        </w:tc>
        <w:tc>
          <w:tcPr>
            <w:tcW w:w="0" w:type="auto"/>
            <w:gridSpan w:val="2"/>
            <w:vAlign w:val="center"/>
          </w:tcPr>
          <w:p w:rsidR="001A09A8" w:rsidRPr="000825C0" w:rsidRDefault="001A09A8" w:rsidP="009170A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201</w:t>
            </w:r>
            <w:r w:rsidR="009170A6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1A09A8" w:rsidRPr="000825C0" w:rsidRDefault="001A09A8" w:rsidP="009170A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20</w:t>
            </w:r>
            <w:r w:rsidR="009170A6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4"/>
            <w:vAlign w:val="center"/>
          </w:tcPr>
          <w:p w:rsidR="001A09A8" w:rsidRPr="000825C0" w:rsidRDefault="001A09A8" w:rsidP="00917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202</w:t>
            </w:r>
            <w:r w:rsidR="009170A6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A09A8" w:rsidRPr="000825C0" w:rsidRDefault="001A09A8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Кількість платників</w:t>
            </w:r>
          </w:p>
        </w:tc>
      </w:tr>
      <w:tr w:rsidR="000825C0" w:rsidRPr="009550C4" w:rsidTr="000825C0">
        <w:trPr>
          <w:trHeight w:val="733"/>
        </w:trPr>
        <w:tc>
          <w:tcPr>
            <w:tcW w:w="0" w:type="auto"/>
            <w:vMerge/>
            <w:shd w:val="clear" w:color="auto" w:fill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Середня ставка%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0825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Обсяг надходжень, тис. грн.</w:t>
            </w: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Середня ставка%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0825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обсяг надходжень, тис. грн.</w:t>
            </w: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Середня ставка%</w:t>
            </w: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0825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обсяг надходжень, тис. грн.</w:t>
            </w: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  <w:t>Середня ставка%</w:t>
            </w:r>
          </w:p>
        </w:tc>
        <w:tc>
          <w:tcPr>
            <w:tcW w:w="0" w:type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ru-RU"/>
              </w:rPr>
            </w:pPr>
            <w:r w:rsidRPr="000825C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обсяг надходжень, тис. грн.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825C0" w:rsidRPr="000825C0" w:rsidRDefault="000825C0" w:rsidP="000825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val="uk-UA"/>
              </w:rPr>
            </w:pPr>
          </w:p>
        </w:tc>
      </w:tr>
      <w:tr w:rsidR="00233230" w:rsidRPr="000825C0" w:rsidTr="00C00B81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:rsidR="00233230" w:rsidRPr="000825C0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Фізичні особи підприємці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C00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C00B81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9170A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9170A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10,4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9170A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C00B8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1833CE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C00B81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C00B8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</w:t>
            </w:r>
          </w:p>
        </w:tc>
      </w:tr>
      <w:tr w:rsidR="00233230" w:rsidRPr="000825C0" w:rsidTr="00C00B81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:rsidR="00233230" w:rsidRPr="000825C0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C00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0825C0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9170A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9170A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9170A6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C00B8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1833CE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  <w:tc>
          <w:tcPr>
            <w:tcW w:w="0" w:type="auto"/>
            <w:vAlign w:val="center"/>
          </w:tcPr>
          <w:p w:rsidR="00233230" w:rsidRPr="00C00B81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233230" w:rsidRDefault="005065BA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3230" w:rsidRPr="00C00B81" w:rsidRDefault="00233230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C00B81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1</w:t>
            </w:r>
          </w:p>
        </w:tc>
      </w:tr>
      <w:tr w:rsidR="009170A6" w:rsidRPr="000825C0" w:rsidTr="000825C0">
        <w:trPr>
          <w:trHeight w:val="220"/>
        </w:trPr>
        <w:tc>
          <w:tcPr>
            <w:tcW w:w="0" w:type="auto"/>
            <w:shd w:val="clear" w:color="auto" w:fill="auto"/>
            <w:vAlign w:val="center"/>
          </w:tcPr>
          <w:p w:rsidR="009170A6" w:rsidRPr="000825C0" w:rsidRDefault="009170A6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 w:rsidRPr="000825C0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0" w:type="auto"/>
            <w:vAlign w:val="center"/>
          </w:tcPr>
          <w:p w:rsidR="009170A6" w:rsidRPr="000825C0" w:rsidRDefault="009170A6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0A6" w:rsidRPr="00CC1409" w:rsidRDefault="00CC1409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0" w:type="auto"/>
            <w:vAlign w:val="center"/>
          </w:tcPr>
          <w:p w:rsidR="009170A6" w:rsidRPr="000825C0" w:rsidRDefault="009170A6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0A6" w:rsidRPr="00CC1409" w:rsidRDefault="00CC1409" w:rsidP="009170A6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C14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16,7</w:t>
            </w:r>
          </w:p>
        </w:tc>
        <w:tc>
          <w:tcPr>
            <w:tcW w:w="0" w:type="auto"/>
            <w:vAlign w:val="center"/>
          </w:tcPr>
          <w:p w:rsidR="009170A6" w:rsidRPr="000825C0" w:rsidRDefault="009170A6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0A6" w:rsidRPr="00CC1409" w:rsidRDefault="00CC1409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17,7</w:t>
            </w:r>
          </w:p>
        </w:tc>
        <w:tc>
          <w:tcPr>
            <w:tcW w:w="0" w:type="auto"/>
            <w:vAlign w:val="center"/>
          </w:tcPr>
          <w:p w:rsidR="009170A6" w:rsidRPr="000825C0" w:rsidRDefault="009170A6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70A6" w:rsidRPr="00CC1409" w:rsidRDefault="00CC1409" w:rsidP="000825C0">
            <w:pPr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70A6" w:rsidRPr="00CC1409" w:rsidRDefault="00CC1409" w:rsidP="000825C0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val="uk-UA"/>
              </w:rPr>
              <w:t>2</w:t>
            </w:r>
          </w:p>
        </w:tc>
      </w:tr>
    </w:tbl>
    <w:p w:rsidR="00500340" w:rsidRPr="001A09A8" w:rsidRDefault="00500340" w:rsidP="000825C0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4581"/>
        <w:gridCol w:w="3490"/>
      </w:tblGrid>
      <w:tr w:rsidR="00500340" w:rsidRPr="000825C0" w:rsidTr="000825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0825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Вигоди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Витрати</w:t>
            </w:r>
          </w:p>
        </w:tc>
      </w:tr>
      <w:tr w:rsidR="00500340" w:rsidRPr="00B00070" w:rsidTr="000825C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0070" w:rsidRDefault="001A09A8" w:rsidP="00B0007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Відповідно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підпункту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12.3.5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пункту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12.3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статті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12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Податкового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кодексу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України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туристичний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збір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буде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справлятись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виходячи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норм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Кодексу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із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застосуванням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мінімальних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ставок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що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призведе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збільшення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доходу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суб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>'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єктів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господарювання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тис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грн</w:t>
            </w:r>
            <w:r w:rsidRPr="00B0007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B00070" w:rsidP="00B0007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Відсутні</w:t>
            </w:r>
          </w:p>
        </w:tc>
      </w:tr>
      <w:tr w:rsidR="00500340" w:rsidRPr="007326BC" w:rsidTr="000825C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B0007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Сплата 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 запропонованими ставками, передбаченими проектом регуляторного акта без погіршення умов для ведення бізнесу.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0070" w:rsidRDefault="001A09A8" w:rsidP="007326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Сплата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 запропонованими ставками, передбаченими проектом регуляторного акта. </w:t>
            </w:r>
            <w:r w:rsidR="00D71AB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Середній розмір витрат суб’єкта господарювання складе</w:t>
            </w:r>
            <w:r w:rsidR="00D71ABD" w:rsidRPr="000825C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8941,79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грн.</w:t>
            </w:r>
          </w:p>
        </w:tc>
      </w:tr>
      <w:tr w:rsidR="00500340" w:rsidRPr="00B00070" w:rsidTr="000825C0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0825C0" w:rsidRDefault="001A09A8" w:rsidP="00B0007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0825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Надмірне податкове навантаження, що призведе до погіршення умов ведення бізнесу. </w:t>
            </w:r>
            <w:r w:rsidR="00D71AB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Середній розмір витрат суб’єкта господарювання </w:t>
            </w:r>
            <w:r w:rsidR="00D71ABD" w:rsidRPr="000825C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B00070" w:rsidRP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10686,6</w:t>
            </w:r>
            <w:r w:rsidR="003462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="00B0007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грн.</w:t>
            </w:r>
          </w:p>
        </w:tc>
      </w:tr>
    </w:tbl>
    <w:p w:rsidR="00500340" w:rsidRPr="00B00070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Оцінка впливу регуляторного акта на конкуренцію в рамках проведення аналізу регуляторного впливу</w:t>
      </w: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1417"/>
      </w:tblGrid>
      <w:tr w:rsidR="00500340" w:rsidRPr="003553C6" w:rsidTr="003553C6">
        <w:trPr>
          <w:trHeight w:val="275"/>
        </w:trPr>
        <w:tc>
          <w:tcPr>
            <w:tcW w:w="8081" w:type="dxa"/>
          </w:tcPr>
          <w:p w:rsidR="00500340" w:rsidRPr="003553C6" w:rsidRDefault="001A09A8" w:rsidP="003553C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Категорія впливу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Відповідь</w:t>
            </w:r>
          </w:p>
        </w:tc>
      </w:tr>
      <w:tr w:rsidR="00500340" w:rsidRPr="003553C6" w:rsidTr="003553C6">
        <w:trPr>
          <w:trHeight w:val="277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Обмежує кількість або звужує коло постачальників.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Надає суб’єкту господарювання виключні права на поставку товарів чи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послуг;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2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 Запроваджує режим ліцензування, надання дозволу або вимогу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погодження підприємницької діяльності з органами влади;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Обмежує здатність окремих категорій підприємців постачати товари чи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надавати послуги (звужує коло учасників ринку);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275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Значно підвищує вартість входження в ринок або виходу з нього;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Створює географічний бар’єр для постачання товарів, виконання робіт,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надання послуг або інвестицій.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3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Обмежує здатність постачальників конкурувати.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275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Обмежує здатність підприємців визначати ціни на товари та послуги;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Обмежує можливість постачальників рекламувати або здійснювати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маркетинг товарів чи послуг;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1104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Установлює стандарти якості, що надають необґрунтовану перевагу окремим постачальникам порівняно з іншими, або стандарти вищого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рівня якості, ніж той, який обрали б окремі достатньо поінформовані споживачі;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827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4. Суттєво збільшує витрати окремих суб’єктів підприємництва порівняно з іншими (зокрема внаслідок дискримінаційного ставлення до діючих та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нових учасників ринку).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1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Зменшує мотивацію постачальників до активної конкуренції.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275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Запроваджує режим саморегулювання або спільного регулювання;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3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2. Вимагає або заохочує публікувати інформацію про обсяги виробництва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реалізацію, ціни та витрати підприємств;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500340" w:rsidRPr="003553C6" w:rsidTr="003553C6">
        <w:trPr>
          <w:trHeight w:val="552"/>
        </w:trPr>
        <w:tc>
          <w:tcPr>
            <w:tcW w:w="8081" w:type="dxa"/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Обмежує вибір та доступ споживачів до необхідної інформації.</w:t>
            </w:r>
          </w:p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 наслідок може настати, якщо регуляторна пропозиція:</w:t>
            </w:r>
          </w:p>
        </w:tc>
        <w:tc>
          <w:tcPr>
            <w:tcW w:w="1417" w:type="dxa"/>
          </w:tcPr>
          <w:p w:rsidR="00500340" w:rsidRPr="003553C6" w:rsidRDefault="001A09A8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</w:tr>
      <w:tr w:rsidR="003553C6" w:rsidRPr="001A09A8" w:rsidTr="003553C6">
        <w:trPr>
          <w:trHeight w:val="278"/>
        </w:trPr>
        <w:tc>
          <w:tcPr>
            <w:tcW w:w="8081" w:type="dxa"/>
          </w:tcPr>
          <w:p w:rsidR="003553C6" w:rsidRPr="003553C6" w:rsidRDefault="003553C6" w:rsidP="003553C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 Обмежує здатність споживачів вирішувати в кого купувати товар;</w:t>
            </w:r>
          </w:p>
        </w:tc>
        <w:tc>
          <w:tcPr>
            <w:tcW w:w="1417" w:type="dxa"/>
          </w:tcPr>
          <w:p w:rsidR="003553C6" w:rsidRPr="003553C6" w:rsidRDefault="003553C6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3553C6" w:rsidRPr="001A09A8" w:rsidTr="003553C6">
        <w:trPr>
          <w:trHeight w:val="551"/>
        </w:trPr>
        <w:tc>
          <w:tcPr>
            <w:tcW w:w="8081" w:type="dxa"/>
          </w:tcPr>
          <w:p w:rsidR="003553C6" w:rsidRPr="003553C6" w:rsidRDefault="003553C6" w:rsidP="003553C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 Знижує мобільність споживачів унаслідок підвищення прямих або</w:t>
            </w:r>
          </w:p>
          <w:p w:rsidR="003553C6" w:rsidRPr="003553C6" w:rsidRDefault="003553C6" w:rsidP="003553C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непрямих витрат на заміну постачальника;</w:t>
            </w:r>
          </w:p>
        </w:tc>
        <w:tc>
          <w:tcPr>
            <w:tcW w:w="1417" w:type="dxa"/>
          </w:tcPr>
          <w:p w:rsidR="003553C6" w:rsidRPr="003553C6" w:rsidRDefault="003553C6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3553C6" w:rsidRPr="001A09A8" w:rsidTr="003553C6">
        <w:trPr>
          <w:trHeight w:val="551"/>
        </w:trPr>
        <w:tc>
          <w:tcPr>
            <w:tcW w:w="8081" w:type="dxa"/>
          </w:tcPr>
          <w:p w:rsidR="003553C6" w:rsidRPr="003553C6" w:rsidRDefault="003553C6" w:rsidP="003553C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 Суттєво обмежує чи змінює інформацію, необхідну для ухвалення</w:t>
            </w:r>
          </w:p>
          <w:p w:rsidR="003553C6" w:rsidRPr="003553C6" w:rsidRDefault="003553C6" w:rsidP="003553C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раціонального рішення щодо придбання чи продажу товарів.</w:t>
            </w:r>
          </w:p>
        </w:tc>
        <w:tc>
          <w:tcPr>
            <w:tcW w:w="1417" w:type="dxa"/>
          </w:tcPr>
          <w:p w:rsidR="003553C6" w:rsidRPr="003553C6" w:rsidRDefault="003553C6" w:rsidP="00FB64E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</w:tbl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Вибір найбільш оптимального альтернативного способу досягнення цілей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  <w:gridCol w:w="3265"/>
        <w:gridCol w:w="4006"/>
      </w:tblGrid>
      <w:tr w:rsidR="00500340" w:rsidRPr="009550C4" w:rsidTr="00355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3553C6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3553C6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Бал результативності (за чотирибальною системою оцінки)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3553C6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Коментарі щодо присвоєння відповідного бала</w:t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1 - цілі прийняття регуляторного акта не можуть бути досягнуті (проблема продовжує існувати)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8C3A4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 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разі неприйняття регуляторного акта,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збір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справлятиметься із застосуванням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мінімальних 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ставок, що спричинить втрати дохо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дної частини бюджету в розмірі 17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тис. грн. та призведе до недо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статності 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фінансування програм соціально-економічного розвитку громади.</w:t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4 - цілі прийняття регуляторного акта можуть бути досягнуті повною мірою </w:t>
            </w: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 xml:space="preserve">(проблема більше існувати не </w:t>
            </w:r>
            <w:r w:rsidRPr="003553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буде)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D71ABD" w:rsidRDefault="001A09A8" w:rsidP="008C3A4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Цей регуляторний акт відповідає потребам у розв'язанні визначеної проблеми та принципам державної регуляторної політики.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Цілі прийняття проекту рішення про встановлення </w:t>
            </w:r>
            <w:r w:rsid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туристичного збору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на 202</w:t>
            </w:r>
            <w:r w:rsidR="00E043F2" w:rsidRPr="00E043F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рік поступово будуть досягнуті у повній мірі.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До 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сільського бюджету надійдуть додаткові кошти від сплати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очікуваним обсягом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17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тис. грн.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Ставка </w:t>
            </w:r>
            <w:r w:rsid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збору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встановлюється на достатньому рівні для отримання доходів до бюджету, що водночас не призведе до погіршення умов ведення бізнесу.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D71AB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Середній розмір витрат на сплату </w:t>
            </w:r>
            <w:r w:rsid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збору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фізичних осіб збільшиться на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5 грн. за добу перебування в 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порівнянні з 20</w:t>
            </w:r>
            <w:r w:rsidR="00E043F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</w:t>
            </w:r>
            <w:r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роком.</w:t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2 - цілі прийняття регуляторного акта можуть бути досягнуті частково (проблема значно зменшиться, деякі важливі та критичні аспекти проблеми залишаться невирішеними)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Цілі державного регулювання можуть бути досягнуті частково. Надмірне податкове навантаження нівелює вигоди від збільшення доходної частини бюджету, а саме ризик переходу су</w:t>
            </w:r>
            <w:r w:rsidR="008C3A4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б'єктів господарювання в "тінь"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 Балансу інтересів досягнуто не буде.</w:t>
            </w:r>
          </w:p>
          <w:p w:rsidR="00500340" w:rsidRPr="003553C6" w:rsidRDefault="00D71ABD" w:rsidP="007326BC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Середній розмір витрат на сплату </w:t>
            </w:r>
            <w:r w:rsidR="007326B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збору</w:t>
            </w:r>
            <w:r w:rsid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фізичних осіб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зросте </w:t>
            </w:r>
            <w:r w:rsidR="001A09A8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16</w:t>
            </w:r>
            <w:r w:rsidR="001A09A8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  <w:r w:rsidR="001A09A8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грн. </w:t>
            </w:r>
            <w:r w:rsidR="008C3A42" w:rsidRPr="008C3A4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добу перебування в порівнянні з 2020 роком.</w:t>
            </w:r>
          </w:p>
        </w:tc>
      </w:tr>
    </w:tbl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2697"/>
        <w:gridCol w:w="2440"/>
        <w:gridCol w:w="2605"/>
      </w:tblGrid>
      <w:tr w:rsidR="00B31383" w:rsidRPr="009550C4" w:rsidTr="00355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Вигоди (підсумок)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 (підсумок)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Обґрунтування відповідного місця альтернативи у рейтингу</w:t>
            </w:r>
          </w:p>
        </w:tc>
      </w:tr>
      <w:tr w:rsidR="00B31383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171DB0" w:rsidRPr="008B6196" w:rsidRDefault="00171DB0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 досягнення цілей державного регулювання, сталість надходження коштів до місцевого бюджету без погіршення умов для розвитку бізнесу;</w:t>
            </w:r>
          </w:p>
          <w:p w:rsidR="00171DB0" w:rsidRPr="008B6196" w:rsidRDefault="00171DB0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належне фінансування програм соціально-економічного розвиток громади.</w:t>
            </w:r>
          </w:p>
          <w:p w:rsidR="00171DB0" w:rsidRPr="008B6196" w:rsidRDefault="00171DB0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Очікуваний обсяг надходжень до місцевого бюджету 17,7 тис. грн.</w:t>
            </w:r>
          </w:p>
          <w:p w:rsidR="00500340" w:rsidRPr="008B6196" w:rsidRDefault="001A09A8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8B6196" w:rsidRPr="008B6196" w:rsidRDefault="008B6196" w:rsidP="008B619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Забезпечення фінансування програм 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соціально-економічного розвитку громади на достатньому рівні.</w:t>
            </w:r>
          </w:p>
          <w:p w:rsidR="008B6196" w:rsidRPr="008B6196" w:rsidRDefault="008B6196" w:rsidP="008B619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Очікуваний обсяг надходжень до місцевого бюджету 17,7 тис. грн.</w:t>
            </w:r>
          </w:p>
          <w:p w:rsidR="00500340" w:rsidRPr="008B6196" w:rsidRDefault="001A09A8" w:rsidP="008B619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500340" w:rsidRPr="008B619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Сплата збору за запропонованими ставками, передбаченими проектом регуляторного акта без погіршення умов для ведення бізнесу.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Держава: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8B6196" w:rsidRPr="008B619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Сплата </w:t>
            </w:r>
            <w:r w:rsidR="0073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запропонованими ставками, передбаченими проектом регуляторного акта. Середній розмір витрат для платника </w:t>
            </w:r>
            <w:r w:rsidR="0073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складе 62,5 грн. на добу проживання.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8B6196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Витрати: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Сплата </w:t>
            </w:r>
            <w:r w:rsidR="0073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запропонованими ставками, 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передбаченими проектом регуляторного акта. Середній розмір витрат суб’єкта господарювання складе 8941,79 грн.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Сумарні витрати, грн: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17833,58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B3138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Цей регуляторний акт відповідає потребам у розв'язанні визначеної проблеми та принципам державної регуляторної політики.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Затвердження такого регуляторного акта забезпечить поступове досягнення встановлених цілей.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До сільського бюджету надійдуть додаткові кошти від сплати даного </w:t>
            </w:r>
            <w:r w:rsidR="00B31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що дасть змогу реалізовувати на достатньому рівні програми соціально-економічного розвитку 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громади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B31383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Держава:</w:t>
            </w:r>
          </w:p>
          <w:p w:rsidR="00171DB0" w:rsidRDefault="00171DB0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1DB0">
              <w:rPr>
                <w:rFonts w:ascii="Times New Roman" w:hAnsi="Times New Roman" w:cs="Times New Roman"/>
                <w:sz w:val="24"/>
                <w:szCs w:val="24"/>
              </w:rPr>
              <w:t>Забезпечить надходження додаткових коштів до місцевого бюджету, що дасть змогу здійснити додаткове фінансування програм соціально-економічного розвитку сільської ради.  Очікуваний обсяг надходжень до бюджету складе 21,2 тис. грн.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Громадяни:</w:t>
            </w:r>
          </w:p>
          <w:p w:rsidR="008B619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Вирішення більшої кількості проблем громади, збільшення фінансування програм соціально-економічного розвитку громади на суму 21,2 тис. грн.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Суб'єкти господарювання: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8B619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Надмірне податкове навантаження. Середній розмір витрат для платника </w:t>
            </w:r>
            <w:r w:rsidR="0073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складе 75,0 грн. на добу проживання.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500340" w:rsidRPr="00EC4CFB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Витрати: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Надмірне податкове навантаження, що призведе до погіршення умов ведення бізнесу. Середній розмір витрат суб’єкта господарювання  </w:t>
            </w:r>
            <w:r w:rsidR="008B6196" w:rsidRPr="00EC4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10686,60 грн.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C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Сумарні витрати, грн:</w:t>
            </w:r>
            <w:r w:rsidRPr="00EC4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C4CFB" w:rsidRPr="00EC4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21373,2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Default="00B31383" w:rsidP="00B3138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Затвердження такого регуляторного акта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забезпечить часткове досягнення встановлених цілей. Відбудеться н</w:t>
            </w:r>
            <w:r w:rsidR="001A09A8" w:rsidRPr="003553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адмірне податкове навантаження,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переходу бізнесу «в тінь».</w:t>
            </w:r>
          </w:p>
          <w:p w:rsidR="00B31383" w:rsidRPr="003553C6" w:rsidRDefault="00B31383" w:rsidP="00B3138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надходжень до місцевого бюджету дасть змогу виділити додаткові кошти на реалізацію програм соціально-економічного розвитку.</w:t>
            </w:r>
          </w:p>
        </w:tc>
      </w:tr>
      <w:tr w:rsidR="00B31383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Держава:</w:t>
            </w:r>
          </w:p>
          <w:p w:rsidR="00171DB0" w:rsidRDefault="00171DB0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Можливе незначне збільшення кількості туристів на території громади 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500340" w:rsidRPr="003553C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Зниження вартості проживання у закладах тимчасового розміщення на території громади </w:t>
            </w:r>
            <w:r w:rsidR="001A09A8"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Суб'єкти господарювання:</w:t>
            </w:r>
          </w:p>
          <w:p w:rsidR="00500340" w:rsidRPr="003553C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підпункту 12.3.5 пункту 12.3 статті 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 Податкового кодексу України туристичний збір буде справлятись виходячи з норм Кодексу із застосуванням мінімальних ставок, що призведе до збільшення доходу суб'єктів господарювання на 17,7 тис. грн.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Держава:</w:t>
            </w:r>
          </w:p>
          <w:p w:rsidR="00171DB0" w:rsidRPr="00171DB0" w:rsidRDefault="00171DB0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 до підпункту 12.3.5 пункту 12.3 статті 12 Податкового кодексу України туристичний збір буде справлятись виходячи з норм</w:t>
            </w:r>
          </w:p>
          <w:p w:rsidR="00171DB0" w:rsidRDefault="00171DB0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Кодексу із застосуванням мінімальних ставок </w:t>
            </w:r>
            <w:r w:rsidR="007326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збору</w:t>
            </w:r>
            <w:r w:rsidRPr="0017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що призведе до зниження надходження до </w:t>
            </w:r>
            <w:r w:rsidRPr="00171D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місцевого бюджету у 2021 році орієнтовно на 17,7 тис. грн.</w:t>
            </w:r>
          </w:p>
          <w:p w:rsidR="00500340" w:rsidRPr="003553C6" w:rsidRDefault="001A09A8" w:rsidP="00171DB0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Громадяни:</w:t>
            </w:r>
          </w:p>
          <w:p w:rsidR="00500340" w:rsidRPr="003553C6" w:rsidRDefault="008B6196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</w:p>
          <w:p w:rsidR="00500340" w:rsidRPr="003553C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Суб'єкти господарювання:</w:t>
            </w:r>
          </w:p>
          <w:p w:rsidR="00500340" w:rsidRPr="008B6196" w:rsidRDefault="001A09A8" w:rsidP="00FB64E5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Витрати: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</w:t>
            </w:r>
          </w:p>
          <w:p w:rsidR="00500340" w:rsidRPr="003553C6" w:rsidRDefault="001A09A8" w:rsidP="008B619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1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Сумарні витрати, грн:</w:t>
            </w:r>
            <w:r w:rsidRPr="008B61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B6196" w:rsidRPr="008B6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B31383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 разі неприйняття регуляторного акта, </w:t>
            </w:r>
            <w:r w:rsidR="00B31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туристичний збір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справлятиметься  по </w:t>
            </w:r>
            <w:r w:rsidR="00B313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мінімальним </w:t>
            </w:r>
            <w:r w:rsidRPr="00355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ставкам, що спричинить втрати доходної частини бюджету та недофінансування програм соціально-економічного розвитку сільської ради.</w:t>
            </w:r>
          </w:p>
        </w:tc>
      </w:tr>
    </w:tbl>
    <w:p w:rsidR="00500340" w:rsidRPr="001A09A8" w:rsidRDefault="00500340" w:rsidP="00FB64E5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5232"/>
        <w:gridCol w:w="2979"/>
      </w:tblGrid>
      <w:tr w:rsidR="00500340" w:rsidRPr="009550C4" w:rsidTr="003553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Рейтинг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BB769A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Наповнення сільського бюджету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сумі </w:t>
            </w:r>
            <w:r w:rsidR="00BB769A"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BB769A"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тис. грн.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>забезпечення реалізації на достатньому рівні програм соціально-економічного розвитку громади.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>політична та економічна ситуація в країні.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Альтернатива 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BB769A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Цілі регулювання можуть бути досягнуті частково. Надмірне податкове навантаження на 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суб'єктів господарювання знівелює вигоди від </w:t>
            </w:r>
            <w:r w:rsidR="00BB769A"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більшення дохідної частини сільського бюджету</w:t>
            </w:r>
            <w:r w:rsid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(очікуваний обсяг доходів бюджету </w:t>
            </w:r>
            <w:r w:rsidR="00BB769A" w:rsidRPr="00BB769A">
              <w:rPr>
                <w:rFonts w:ascii="Times New Roman" w:eastAsia="SimSun" w:hAnsi="Times New Roman" w:cs="Times New Roman"/>
                <w:kern w:val="0"/>
                <w:sz w:val="24"/>
                <w:szCs w:val="28"/>
                <w:lang w:val="ru-RU"/>
              </w:rPr>
              <w:t>21</w:t>
            </w:r>
            <w:r w:rsidRPr="00BB769A">
              <w:rPr>
                <w:rFonts w:ascii="Times New Roman" w:eastAsia="SimSun" w:hAnsi="Times New Roman" w:cs="Times New Roman"/>
                <w:kern w:val="0"/>
                <w:sz w:val="24"/>
                <w:szCs w:val="28"/>
                <w:lang w:val="uk-UA"/>
              </w:rPr>
              <w:t>,</w:t>
            </w:r>
            <w:r w:rsidR="00BB769A" w:rsidRPr="00BB769A">
              <w:rPr>
                <w:rFonts w:ascii="Times New Roman" w:eastAsia="SimSun" w:hAnsi="Times New Roman" w:cs="Times New Roman"/>
                <w:kern w:val="0"/>
                <w:sz w:val="24"/>
                <w:szCs w:val="28"/>
                <w:lang w:val="ru-RU"/>
              </w:rPr>
              <w:t>2</w:t>
            </w:r>
            <w:r w:rsidRPr="00BB769A">
              <w:rPr>
                <w:rFonts w:ascii="Times New Roman" w:eastAsia="SimSun" w:hAnsi="Times New Roman" w:cs="Times New Roman"/>
                <w:kern w:val="0"/>
                <w:sz w:val="24"/>
                <w:szCs w:val="28"/>
                <w:lang w:val="uk-UA"/>
              </w:rPr>
              <w:t xml:space="preserve"> тис. грн.)</w:t>
            </w:r>
            <w:r w:rsidRPr="00BB769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>політична та економічна ситуація в країні.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</w:p>
        </w:tc>
      </w:tr>
      <w:tr w:rsidR="00500340" w:rsidRPr="009550C4" w:rsidTr="003553C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241F9F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Зменшення надходжень до сільського  бюджету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</w:t>
            </w:r>
            <w:r w:rsidR="00241F9F"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</w:t>
            </w:r>
            <w:r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241F9F"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</w:t>
            </w:r>
            <w:r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тис. </w:t>
            </w:r>
            <w:r w:rsidR="003C0788"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</w:t>
            </w:r>
            <w:r w:rsidRPr="00241F9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рн.</w:t>
            </w:r>
            <w:r w:rsidRPr="00241F9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підвищення соціальної напруги </w:t>
            </w:r>
            <w:r w:rsidR="00241F9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 разі невиконання програм соціально-економічного розвитку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553C6" w:rsidRDefault="001A09A8" w:rsidP="001A09A8">
            <w:pPr>
              <w:pStyle w:val="TableContents"/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Зміни до Податкового кодексу України, зниження платоспроможності платників податків,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 xml:space="preserve">зменшення кількості суб'єктів господарювання, 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  <w:t>політична та економічна ситуація в країні.</w:t>
            </w:r>
            <w:r w:rsidRPr="003553C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br/>
            </w:r>
          </w:p>
        </w:tc>
      </w:tr>
    </w:tbl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Механізми та заходи, які забезпечать розв'язання визначеної проблеми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Запропоновані механізми регуляторного акта, за допомогою яких можна розв'язати проблему: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 результаті проведення аналізу поточної ситуації на території Білоцерківської сільської ради, інформації відділ</w:t>
      </w:r>
      <w:r w:rsidR="005E394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фінансового забезпечення та 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lastRenderedPageBreak/>
        <w:t>економічного розвитку виконавчого комітету Білоцерківської сільської ради, проведених запитів та засідань, основним механізмом, як</w:t>
      </w:r>
      <w:r w:rsidR="005E3943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забезпечить розв’язання визначеної проблеми є прийняття рішення про встановлення </w:t>
      </w:r>
      <w:r w:rsidR="005E3943">
        <w:rPr>
          <w:rFonts w:ascii="Times New Roman" w:hAnsi="Times New Roman" w:cs="Times New Roman"/>
          <w:sz w:val="28"/>
          <w:szCs w:val="28"/>
          <w:lang w:val="ru-RU"/>
        </w:rPr>
        <w:t>туристичного збору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на території Білоцерківської сільської ради на 202</w:t>
      </w:r>
      <w:r w:rsidR="003C078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рік із запропонованими ставкими </w:t>
      </w:r>
      <w:r w:rsidR="005E3943">
        <w:rPr>
          <w:rFonts w:ascii="Times New Roman" w:hAnsi="Times New Roman" w:cs="Times New Roman"/>
          <w:sz w:val="28"/>
          <w:szCs w:val="28"/>
          <w:lang w:val="ru-RU"/>
        </w:rPr>
        <w:t>збору</w:t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Заходи, які мають здійснити органи влади для впровадження цього регуляторного акта: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Оприлюднення проекту рішення разом з АРВ та отримання пропозицій і зауважень.  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Отримання пропозицій по удосконаленню проекту рішення від Державної регуляторної служби України.  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Прийняття рішення на пленарному засіданні сесії сільської ради.  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Оприлюднення рішення у встановленому законодавством порядку.  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ab/>
        <w:t>Проведення заходів з відстеження результативності прийнятого рішення</w:t>
      </w:r>
    </w:p>
    <w:p w:rsidR="00500340" w:rsidRPr="001A09A8" w:rsidRDefault="00500340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</w:t>
      </w:r>
      <w:r w:rsidR="001A09A8" w:rsidRPr="00AE1FA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="001A09A8" w:rsidRPr="001A09A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відсотків, розрахунок витрат на запровадження державного регулювання для суб’єктів малого підприємництва здійснено згідно з додатком 4 до Методики проведення аналізу впливу регуляторного акта (Тест малого підприємництва).</w:t>
      </w: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VII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Обґрунтування запропонованого строку дії регуляторного акта</w:t>
      </w:r>
    </w:p>
    <w:p w:rsidR="00500340" w:rsidRPr="001A09A8" w:rsidRDefault="001A09A8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Запропонований термін дії акта:</w:t>
      </w:r>
    </w:p>
    <w:p w:rsidR="00500340" w:rsidRPr="001A09A8" w:rsidRDefault="001A09A8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один рік</w:t>
      </w:r>
    </w:p>
    <w:p w:rsidR="00500340" w:rsidRPr="001A09A8" w:rsidRDefault="001A09A8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Обґрунтування запропонованого терміну дії акта: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Враховуючи норми Бюджетного та Податкового кодексів України, органи місцевого самоврядування мають щорічно переглядати розміри ставок місцевих податків і зборів, що справляються в установленому Податковим кодексом України порядку. Відповідні ставки будуть діяти лише протягом року, на який прийняті.</w:t>
      </w:r>
    </w:p>
    <w:p w:rsidR="00500340" w:rsidRPr="001A09A8" w:rsidRDefault="00500340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VIII</w:t>
      </w:r>
      <w:r w:rsidRPr="001A09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. Визначення показників результативності дії регуляторного акта</w:t>
      </w:r>
    </w:p>
    <w:p w:rsidR="00500340" w:rsidRPr="001A09A8" w:rsidRDefault="00FB64E5" w:rsidP="001A09A8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1A09A8" w:rsidRPr="001A09A8">
        <w:rPr>
          <w:rFonts w:ascii="Times New Roman" w:hAnsi="Times New Roman" w:cs="Times New Roman"/>
          <w:sz w:val="28"/>
          <w:szCs w:val="28"/>
          <w:lang w:val="ru-RU"/>
        </w:rPr>
        <w:t>Досягнення цілі державного регулювання, задля якого пропонується акт, може бути охарактеризовано наступними кількісними та якісними показниками, значення яких має змінитися за вимірюваний період: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332"/>
        <w:gridCol w:w="1189"/>
        <w:gridCol w:w="4874"/>
      </w:tblGrid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 показника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Одиниця виміру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C0788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</w:pP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202</w:t>
            </w:r>
            <w:r w:rsidR="003C0788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1</w:t>
            </w: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рік</w:t>
            </w:r>
            <w:r w:rsidRPr="00B0426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 xml:space="preserve"> (прогноз)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Розмір надходжень до державного бюджету,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Розмір надходжень до місцевих бюджетів,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249D7" w:rsidRDefault="00AE1FAB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A7352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17698,12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Розмір надходжень до цільового фонду, пов`язаних з дією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Кількість суб`єктів господарювання та/або фізичних осіб, на яких поширюватиметься дія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</w:rPr>
              <w:t>од.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AE1FAB" w:rsidRDefault="00AE1FAB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Розмір коштів, що витрачатимуться суб`єктами господарювання та/або фізичними особами, пов`язаними з виконанням вимог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249D7" w:rsidRDefault="00AE1FAB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0B6930">
              <w:rPr>
                <w:rFonts w:ascii="Times New Roman" w:hAnsi="Times New Roman" w:cs="Times New Roman"/>
                <w:color w:val="auto"/>
                <w:sz w:val="24"/>
                <w:szCs w:val="28"/>
                <w:lang w:val="uk-UA"/>
              </w:rPr>
              <w:t>17833,58</w:t>
            </w:r>
          </w:p>
        </w:tc>
      </w:tr>
      <w:tr w:rsidR="00B04266" w:rsidRPr="00B04266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Час, що витрачатиметься суб`єктами господарювання та/або фізичними особами, пов`язаними з виконанням вимог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год.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3249D7" w:rsidRDefault="00AE1FAB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lang w:val="uk-UA"/>
              </w:rPr>
            </w:pPr>
            <w:r w:rsidRPr="00AE1FA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</w:tr>
      <w:tr w:rsidR="00B04266" w:rsidRPr="006670D8" w:rsidTr="003553C6"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Рівень поінформованості суб`єктів господарювання та/або фізичних осіб з основних положень акта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0340" w:rsidRPr="00B04266" w:rsidRDefault="001A09A8" w:rsidP="003553C6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04266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04266" w:rsidRDefault="00B04266" w:rsidP="00205DD5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bookmarkStart w:id="0" w:name="_GoBack"/>
            <w:bookmarkEnd w:id="0"/>
            <w:r w:rsidRPr="00B0426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частини п’ятої статті 12 Закону України «Про засади державної регуляторної політики у сфері господарської діяльності» рівень поінформованості суб’єктів господарювання з основних положень рішення визначається кількістю осі</w:t>
            </w:r>
            <w:r w:rsidR="00F32DF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що:</w:t>
            </w:r>
          </w:p>
          <w:p w:rsidR="00B04266" w:rsidRDefault="00B04266" w:rsidP="00205DD5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Ознайомляться з зазначеним рішенням у приміщенні виконавчого комітету Білоцерківської сільської ради;</w:t>
            </w:r>
          </w:p>
          <w:p w:rsidR="00B04266" w:rsidRDefault="00B04266" w:rsidP="00205DD5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Ознайомляться і отримають інформацію щодо рішення у Великобагачанському відділенні Миргородської ОДПІ ГУ у Полтавській області;</w:t>
            </w:r>
          </w:p>
          <w:p w:rsidR="00B04266" w:rsidRDefault="00B04266" w:rsidP="00205DD5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Ознайомляться з регуляторним актом на офіційній веб-сторінці Білоцерківської сільської ради в мережі інтернет </w:t>
            </w:r>
            <w:hyperlink r:id="rId7" w:history="1">
              <w:r w:rsidRPr="003556B6">
                <w:rPr>
                  <w:rStyle w:val="aa"/>
                  <w:rFonts w:ascii="Times New Roman" w:hAnsi="Times New Roman" w:cs="Times New Roman"/>
                  <w:sz w:val="24"/>
                  <w:szCs w:val="28"/>
                  <w:lang w:val="uk-UA"/>
                </w:rPr>
                <w:t>http://biloteg.org.ua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розділ «Документи», підрозділ «Регуляторні акти»;</w:t>
            </w:r>
          </w:p>
          <w:p w:rsidR="00B04266" w:rsidRPr="00B04266" w:rsidRDefault="00B04266" w:rsidP="00205DD5">
            <w:pPr>
              <w:pStyle w:val="TableContents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Отримають регуляторний акт за запитом до органу місцевого самоврядування.</w:t>
            </w:r>
          </w:p>
        </w:tc>
      </w:tr>
    </w:tbl>
    <w:p w:rsidR="00500340" w:rsidRPr="00B04266" w:rsidRDefault="00500340" w:rsidP="003553C6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Визначення заходів, за допомогою яких здійснюватиметься відстеження результативності дії регуляторного акта</w:t>
      </w: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Строки проведення базового відстеження результативності дії регуляторного акта:</w:t>
      </w: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Базове відстеження результативності регуляторного акта буде здійснюватися до дня набрання чинності цим регуляторним актом.</w:t>
      </w: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Строки проведення повторного відстеження результативності дії регуляторного акта:</w:t>
      </w:r>
    </w:p>
    <w:p w:rsidR="00535492" w:rsidRDefault="00535492" w:rsidP="001A09A8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5492">
        <w:rPr>
          <w:rFonts w:ascii="Times New Roman" w:hAnsi="Times New Roman" w:cs="Times New Roman"/>
          <w:sz w:val="28"/>
          <w:szCs w:val="28"/>
          <w:lang w:val="ru-RU"/>
        </w:rPr>
        <w:lastRenderedPageBreak/>
        <w:t>У зв'язку із тим, що термін дій регуляторного акта становить 1 рік, повторне відстеження результативності буде здійснюватися за три місяці до закінчення терміну дії регуляторного акта.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 проведення відстеження результативності:</w:t>
      </w: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Статистичний</w:t>
      </w:r>
    </w:p>
    <w:p w:rsidR="00500340" w:rsidRPr="001A09A8" w:rsidRDefault="001A09A8" w:rsidP="001A09A8">
      <w:pPr>
        <w:pStyle w:val="Textbody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 даних, за допомогою яких здійснюватиметься відстеження результативності:</w:t>
      </w: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9A8">
        <w:rPr>
          <w:rFonts w:ascii="Times New Roman" w:hAnsi="Times New Roman" w:cs="Times New Roman"/>
          <w:sz w:val="28"/>
          <w:szCs w:val="28"/>
          <w:lang w:val="ru-RU"/>
        </w:rPr>
        <w:t>Стати</w:t>
      </w:r>
      <w:r w:rsidRPr="001A09A8">
        <w:rPr>
          <w:rFonts w:ascii="Times New Roman" w:hAnsi="Times New Roman" w:cs="Times New Roman"/>
          <w:sz w:val="28"/>
          <w:szCs w:val="28"/>
        </w:rPr>
        <w:t>c</w:t>
      </w:r>
      <w:r w:rsidRPr="001A09A8">
        <w:rPr>
          <w:rFonts w:ascii="Times New Roman" w:hAnsi="Times New Roman" w:cs="Times New Roman"/>
          <w:sz w:val="28"/>
          <w:szCs w:val="28"/>
          <w:lang w:val="ru-RU"/>
        </w:rPr>
        <w:t>тичні</w:t>
      </w:r>
    </w:p>
    <w:p w:rsidR="00500340" w:rsidRPr="001A09A8" w:rsidRDefault="00500340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500340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0340" w:rsidRPr="001A09A8" w:rsidRDefault="001A09A8" w:rsidP="001A09A8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9A8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09A8">
        <w:rPr>
          <w:rFonts w:ascii="Times New Roman" w:hAnsi="Times New Roman" w:cs="Times New Roman"/>
          <w:sz w:val="28"/>
          <w:szCs w:val="28"/>
          <w:lang w:val="uk-UA"/>
        </w:rPr>
        <w:tab/>
        <w:t>І.В. Лещенко</w:t>
      </w:r>
    </w:p>
    <w:sectPr w:rsidR="00500340" w:rsidRPr="001A09A8" w:rsidSect="001A09A8">
      <w:pgSz w:w="11906" w:h="16838"/>
      <w:pgMar w:top="851" w:right="851" w:bottom="851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076E"/>
    <w:multiLevelType w:val="multilevel"/>
    <w:tmpl w:val="4DC307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B4ED7"/>
    <w:rsid w:val="00054F7C"/>
    <w:rsid w:val="000825C0"/>
    <w:rsid w:val="00171DB0"/>
    <w:rsid w:val="00193D0A"/>
    <w:rsid w:val="001A09A8"/>
    <w:rsid w:val="001A5B5A"/>
    <w:rsid w:val="00205DD5"/>
    <w:rsid w:val="00206395"/>
    <w:rsid w:val="00213FE1"/>
    <w:rsid w:val="00233230"/>
    <w:rsid w:val="00241F9F"/>
    <w:rsid w:val="0027472A"/>
    <w:rsid w:val="00281075"/>
    <w:rsid w:val="0029758D"/>
    <w:rsid w:val="002A39BB"/>
    <w:rsid w:val="002F5F65"/>
    <w:rsid w:val="003249D7"/>
    <w:rsid w:val="00346256"/>
    <w:rsid w:val="003553C6"/>
    <w:rsid w:val="003C0788"/>
    <w:rsid w:val="0044343E"/>
    <w:rsid w:val="004D1142"/>
    <w:rsid w:val="004E1785"/>
    <w:rsid w:val="00500340"/>
    <w:rsid w:val="005065BA"/>
    <w:rsid w:val="00535492"/>
    <w:rsid w:val="005403B5"/>
    <w:rsid w:val="005E3943"/>
    <w:rsid w:val="006670D8"/>
    <w:rsid w:val="007326BC"/>
    <w:rsid w:val="00785567"/>
    <w:rsid w:val="008B6196"/>
    <w:rsid w:val="008C3A42"/>
    <w:rsid w:val="008E5E5C"/>
    <w:rsid w:val="009170A6"/>
    <w:rsid w:val="009550C4"/>
    <w:rsid w:val="00962DB0"/>
    <w:rsid w:val="00A619A4"/>
    <w:rsid w:val="00AB00FF"/>
    <w:rsid w:val="00AD18E5"/>
    <w:rsid w:val="00AE1FAB"/>
    <w:rsid w:val="00B00070"/>
    <w:rsid w:val="00B04266"/>
    <w:rsid w:val="00B30244"/>
    <w:rsid w:val="00B31383"/>
    <w:rsid w:val="00BB3693"/>
    <w:rsid w:val="00BB4ED7"/>
    <w:rsid w:val="00BB769A"/>
    <w:rsid w:val="00BC1042"/>
    <w:rsid w:val="00C00B81"/>
    <w:rsid w:val="00C34AEB"/>
    <w:rsid w:val="00C40073"/>
    <w:rsid w:val="00CC1409"/>
    <w:rsid w:val="00CD1DFA"/>
    <w:rsid w:val="00D379CD"/>
    <w:rsid w:val="00D71ABD"/>
    <w:rsid w:val="00D8687B"/>
    <w:rsid w:val="00E043F2"/>
    <w:rsid w:val="00E52863"/>
    <w:rsid w:val="00E65311"/>
    <w:rsid w:val="00EC4CFB"/>
    <w:rsid w:val="00F32DFC"/>
    <w:rsid w:val="00F77C26"/>
    <w:rsid w:val="00F92CBE"/>
    <w:rsid w:val="00FB64E5"/>
    <w:rsid w:val="00FD78B3"/>
    <w:rsid w:val="10565BD8"/>
    <w:rsid w:val="12001B67"/>
    <w:rsid w:val="29C857A1"/>
    <w:rsid w:val="29CE5BA5"/>
    <w:rsid w:val="36BD4AB2"/>
    <w:rsid w:val="36FA3D37"/>
    <w:rsid w:val="37D155A9"/>
    <w:rsid w:val="3AF7750F"/>
    <w:rsid w:val="3F5E73EB"/>
    <w:rsid w:val="46DE3D4B"/>
    <w:rsid w:val="48B05AB0"/>
    <w:rsid w:val="4BC37D44"/>
    <w:rsid w:val="4F51751B"/>
    <w:rsid w:val="527D0ED1"/>
    <w:rsid w:val="55A61C82"/>
    <w:rsid w:val="5DFA7D5B"/>
    <w:rsid w:val="7BF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340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rsid w:val="00500340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500340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500340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500340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500340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rsid w:val="00500340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0340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rsid w:val="00500340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qFormat/>
    <w:rsid w:val="00500340"/>
  </w:style>
  <w:style w:type="paragraph" w:styleId="a5">
    <w:name w:val="Body Text"/>
    <w:basedOn w:val="a"/>
    <w:uiPriority w:val="1"/>
    <w:qFormat/>
    <w:rsid w:val="00500340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Title"/>
    <w:basedOn w:val="a"/>
    <w:next w:val="Standard"/>
    <w:qFormat/>
    <w:rsid w:val="00500340"/>
    <w:pPr>
      <w:keepNext/>
      <w:keepLines/>
      <w:spacing w:after="60" w:line="240" w:lineRule="auto"/>
    </w:pPr>
    <w:rPr>
      <w:sz w:val="52"/>
      <w:szCs w:val="52"/>
    </w:rPr>
  </w:style>
  <w:style w:type="paragraph" w:styleId="a7">
    <w:name w:val="List"/>
    <w:basedOn w:val="Textbody"/>
    <w:rsid w:val="00500340"/>
    <w:rPr>
      <w:sz w:val="24"/>
    </w:rPr>
  </w:style>
  <w:style w:type="paragraph" w:customStyle="1" w:styleId="Textbody">
    <w:name w:val="Text body"/>
    <w:basedOn w:val="Standard"/>
    <w:rsid w:val="00500340"/>
    <w:pPr>
      <w:spacing w:after="140" w:line="288" w:lineRule="auto"/>
    </w:pPr>
  </w:style>
  <w:style w:type="paragraph" w:styleId="a8">
    <w:name w:val="Subtitle"/>
    <w:basedOn w:val="a"/>
    <w:next w:val="Standard"/>
    <w:qFormat/>
    <w:rsid w:val="00500340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styleId="a9">
    <w:name w:val="Table Grid"/>
    <w:basedOn w:val="a1"/>
    <w:uiPriority w:val="39"/>
    <w:rsid w:val="00500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500340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rsid w:val="00500340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500340"/>
  </w:style>
  <w:style w:type="paragraph" w:customStyle="1" w:styleId="PreformattedText">
    <w:name w:val="Preformatted Text"/>
    <w:basedOn w:val="Standard"/>
    <w:rsid w:val="00500340"/>
  </w:style>
  <w:style w:type="paragraph" w:customStyle="1" w:styleId="TableHeading">
    <w:name w:val="Table Heading"/>
    <w:basedOn w:val="TableContents"/>
    <w:qFormat/>
    <w:rsid w:val="00500340"/>
  </w:style>
  <w:style w:type="character" w:customStyle="1" w:styleId="BulletSymbols">
    <w:name w:val="Bullet Symbols"/>
    <w:rsid w:val="00500340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500340"/>
  </w:style>
  <w:style w:type="paragraph" w:customStyle="1" w:styleId="TableParagraph">
    <w:name w:val="Table Paragraph"/>
    <w:basedOn w:val="a"/>
    <w:uiPriority w:val="1"/>
    <w:qFormat/>
    <w:rsid w:val="00500340"/>
    <w:rPr>
      <w:rFonts w:ascii="Times New Roman" w:eastAsia="Times New Roman" w:hAnsi="Times New Roman" w:cs="Times New Roman"/>
      <w:lang w:val="uk-UA" w:eastAsia="uk-UA" w:bidi="uk-UA"/>
    </w:rPr>
  </w:style>
  <w:style w:type="character" w:styleId="aa">
    <w:name w:val="Hyperlink"/>
    <w:basedOn w:val="a0"/>
    <w:uiPriority w:val="99"/>
    <w:unhideWhenUsed/>
    <w:rsid w:val="00B04266"/>
    <w:rPr>
      <w:color w:val="0563C1" w:themeColor="hyperlink"/>
      <w:u w:val="single"/>
    </w:rPr>
  </w:style>
  <w:style w:type="paragraph" w:styleId="ab">
    <w:name w:val="List Paragraph"/>
    <w:basedOn w:val="a"/>
    <w:uiPriority w:val="99"/>
    <w:unhideWhenUsed/>
    <w:rsid w:val="00CD1DFA"/>
    <w:pPr>
      <w:ind w:left="720"/>
      <w:contextualSpacing/>
    </w:pPr>
    <w:rPr>
      <w:rFonts w:cs="Mangal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769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B769A"/>
    <w:rPr>
      <w:rFonts w:ascii="Tahoma" w:eastAsia="Arial" w:hAnsi="Tahoma" w:cs="Mangal"/>
      <w:color w:val="000000"/>
      <w:kern w:val="3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loteg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12</Pages>
  <Words>14722</Words>
  <Characters>8392</Characters>
  <Application>Microsoft Office Word</Application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53</cp:revision>
  <cp:lastPrinted>2020-05-21T12:38:00Z</cp:lastPrinted>
  <dcterms:created xsi:type="dcterms:W3CDTF">2019-05-23T13:59:00Z</dcterms:created>
  <dcterms:modified xsi:type="dcterms:W3CDTF">2020-06-03T07:20:00Z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